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2857-f3a2_ebanginter.htm"/>
      <w:bookmarkStart w:id="1" w:name="ksea0292857f3a2_ebanginter"/>
      <w:bookmarkEnd w:id="0"/>
      <w:bookmarkEnd w:id="1"/>
      <w:r>
        <w:rPr>
          <w:b/>
        </w:rPr>
        <w:t>As filed with the Securities and Exchange Commission on June 1, 2026</w:t>
      </w:r>
      <w:r>
        <w:rPr/>
        <w:t xml:space="preserv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333-295309</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2 to</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East John Carpenter Freeway, Suite 110</w:t>
        <w:br/>
        <w:t>Irving, Texas 75062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 689-1452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and telephone number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Dong Hu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East John Carpenter Freeway, Suite 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Irving, Texas 75062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 689-1452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agent for service)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Giovanni Caruso, Esq.</w:t>
        <w:br/>
        <w:t>Hermione M. Krumm, Esq.</w:t>
      </w:r>
      <w:r>
        <w:rPr>
          <w:rFonts w:ascii="Times New Roman;Times;Serif" w:hAnsi="Times New Roman;Times;Serif"/>
          <w:b w:val="false"/>
          <w:i w:val="false"/>
          <w:caps w:val="false"/>
          <w:smallCaps w:val="false"/>
          <w:sz w:val="20"/>
        </w:rPr>
        <w:t>.</w:t>
        <w:br/>
      </w:r>
      <w:r>
        <w:rPr>
          <w:rFonts w:ascii="Times New Roman;Times;Serif" w:hAnsi="Times New Roman;Times;Serif"/>
          <w:b/>
          <w:i w:val="false"/>
          <w:caps w:val="false"/>
          <w:smallCaps w:val="false"/>
          <w:sz w:val="20"/>
        </w:rPr>
        <w:t>Loeb &amp; Loeb LLP</w:t>
        <w:br/>
        <w:t>345 Park Avenue</w:t>
        <w:br/>
        <w:t>New York, NY 10154</w:t>
        <w:br/>
        <w:t>(212) 407-4000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the effective date of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7(a)(2)(B) of the Securities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F-3 (this “Registration Statement”) is being filed by Ebang International Holdings Inc. (the “Company”) pursuant to Rule 415(a)(6) under the Securities Act of 1933, as amended (the “Securities Act”), to replace the Company’s registration statement on Form F-3 (File No. 333-271512), filed with the Securities and Exchange Commission on April 28, 2023 (the “Expiring Registration Statement”), which is due to expire on June 14,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415(a)(5)(ii) under the Securities Act, by filing this Registration Statement, the Company may issue and sell securities covered by the Expiring Registration Statement until the earlier of the effective date of this Registration Statement or 180 days after June 14, 2026. Pursuant to Rule 415(a)(6) under the Securities Act, we are registering on this Registration Statement an aggregate of $75,000,000 of unsold securities (the “Unsold Securities”) previously registered under the Expiring Registration Statement to be offered, issued and sold by the Company. In accordance with Rule 415(a)(6), the effectiveness of this Registration Statement will be deemed to terminate the Expiring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pStyle w:val="TextBody"/>
        <w:bidi w:val="0"/>
        <w:spacing w:before="0" w:after="0"/>
        <w:jc w:val="both"/>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2810"/>
        <w:gridCol w:w="2690"/>
        <w:gridCol w:w="1985"/>
      </w:tblGrid>
      <w:tr>
        <w:trPr/>
        <w:tc>
          <w:tcPr>
            <w:tcW w:w="2810" w:type="dxa"/>
            <w:tcBorders/>
            <w:vAlign w:val="center"/>
          </w:tcPr>
          <w:p>
            <w:pPr>
              <w:pStyle w:val="TableContents"/>
              <w:bidi w:val="0"/>
              <w:spacing w:before="0" w:after="283"/>
              <w:jc w:val="left"/>
              <w:rPr>
                <w:color w:val="FF0000"/>
              </w:rPr>
            </w:pPr>
            <w:r>
              <w:rPr>
                <w:rFonts w:ascii="Times New Roman;Times;Serif" w:hAnsi="Times New Roman;Times;Serif"/>
                <w:b/>
                <w:color w:val="FF0000"/>
                <w:sz w:val="20"/>
              </w:rPr>
              <w:t>PRELIMINARY PROSPECTUS</w:t>
            </w:r>
            <w:r>
              <w:rPr>
                <w:color w:val="FF0000"/>
              </w:rPr>
              <w:t xml:space="preserve"> </w:t>
            </w:r>
          </w:p>
        </w:tc>
        <w:tc>
          <w:tcPr>
            <w:tcW w:w="2690" w:type="dxa"/>
            <w:tcBorders/>
            <w:vAlign w:val="center"/>
          </w:tcPr>
          <w:p>
            <w:pPr>
              <w:pStyle w:val="TableContents"/>
              <w:bidi w:val="0"/>
              <w:spacing w:before="0" w:after="283"/>
              <w:jc w:val="center"/>
              <w:rPr>
                <w:color w:val="FF0000"/>
              </w:rPr>
            </w:pPr>
            <w:r>
              <w:rPr>
                <w:rFonts w:ascii="Times New Roman;Times;Serif" w:hAnsi="Times New Roman;Times;Serif"/>
                <w:b/>
                <w:color w:val="FF0000"/>
                <w:sz w:val="20"/>
              </w:rPr>
              <w:t>SUBJECT TO COMPLETION</w:t>
            </w:r>
            <w:r>
              <w:rPr>
                <w:color w:val="FF0000"/>
              </w:rPr>
              <w:t xml:space="preserve"> </w:t>
            </w:r>
          </w:p>
        </w:tc>
        <w:tc>
          <w:tcPr>
            <w:tcW w:w="1985" w:type="dxa"/>
            <w:tcBorders/>
            <w:vAlign w:val="center"/>
          </w:tcPr>
          <w:p>
            <w:pPr>
              <w:pStyle w:val="TableContents"/>
              <w:bidi w:val="0"/>
              <w:spacing w:before="0" w:after="283"/>
              <w:jc w:val="center"/>
              <w:rPr>
                <w:color w:val="FF0000"/>
              </w:rPr>
            </w:pPr>
            <w:r>
              <w:rPr>
                <w:rFonts w:ascii="Times New Roman;Times;Serif" w:hAnsi="Times New Roman;Times;Serif"/>
                <w:b/>
                <w:color w:val="FF0000"/>
                <w:sz w:val="20"/>
              </w:rPr>
              <w:t>DATED JUNE 1, 2026</w:t>
            </w:r>
            <w:r>
              <w:rPr>
                <w:color w:val="FF0000"/>
              </w:rPr>
              <w:t xml:space="preserv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International Holdings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478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342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US$75,000,000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our Class A ordinary shares, HK$0.03 par value per share (“Class A ordinary shares”), debt securities, warrants, subscription rights and units of Ebang International Holdings Inc. in any combination from time to time in one or more offerings, at prices and on terms described in one or more supplements to this prospectus. The securities offered by this prospectus will have an aggregate offering price of up to US$75,000,000. Such debt securities, warrants, subscription rights and units may be convertible into or exercisable or exchangeable for our Class A ordinary shares or our other securities. This prospectus provides you with a general description of the securities that we may offer.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our securities hereunder, we will provide a supplement to this prospectus that contains specific information about the offering and the terms of such securities. The supplement may also add, update or change information contained in this prospectus. You should carefully read this prospectus and any prospectus supplement before you invest in any of our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independently or together with any other securities registered hereunder through one or more underwriters, dealers and agents, or directly to purchasers, or through a combination of these methods, on a continuous or delayed basis. See “Plan of Distribution.” If any underwriters, dealers or agents are involved in the sale of any of such securities, their names, and any applicable purchase price, fee, commission or discount arrangements between or among them, will be set forth, or will be calculable from the information set forth, in the applicable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ordinary shares are listed on the Nasdaq Global Select Market (“Nasdaq”) under the symbol “EBON.” On May 29, 2026, the last reported sale price of our Class A ordinary shares on Nasdaq was $2.14 per share. The aggregate market value of our outstanding Class A ordinary shares held by non-affiliates is approximately $13,731,610.81, based on 4,989,746.22 Class A ordinary shares issued and outstanding on May 31, 2026 of which 4,957,260.22 Class A ordinary shares are held by non-affiliates, and a per share price of $2.77 based on the closing sale price of our Class A ordinary shares on April 21, 2026 which was the highest closing sale price of our Class A ordinary shares on Nasdaq, within sixty (60) days of the filing date of this Registration Statement. We have not sold any securities pursuant to General Instruction I.B.5 of Form F-3 during the prior twelve (12) calendar month period that ends on and includes the date of this prospectus. Pursuant to General Instruction I.B.5 of Form F-3, in no event will we sell securities registered on this Registration Statement in a public primary offering with a value exceeding more than one-third of our public float in any 12-month period so long as our public float remains below $75.0 million. The applicable prospectus supplement will contain information, where applicable, as to the listing, if any, on Nasdaq or any other securities market or other securities exchange of the securities covered by such prospectus supplement.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on this prospectus cover pages to “we,” “us”, “our” and “Ebang” refer to Ebang International Holdings Inc.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the “Risk Factors” section contained in our Annual Report on Form 20-F for the fiscal year ended December 31, 2025, filed with the U.S. Securities and Exchange Commission (the “SEC”) on April 24, 2026 and incorporated by reference herein (the “Annual Report”), the applicable prospectus supplement, any related free writing prospectus and the documents we incorporate by reference in this prospectus to read about factors you should consider before investing in our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are a Cayman Islands holding company and conduct all of our operations through our operating subsidiaries. Investors in our shares are not purchasing equity securities of our operating subsidiaries but instead are purchasing equity securities of a Cayman Islands holding company. Ebang does not conduct its business through the variable interest entity (“VIE”) structure. As we have PRC operating subsidiaries, we face various legal and operational risks and uncertainties related to doing business in China. Since the PRC legal system continues to evolve, there are changes from time to time arising from the legal system in China, which include uncertainties regarding new legislation, regulations or interpretations governing our business activities, which may be promulgated or adopted; there is a risk that the Chinese government may intervene or influence our operations at any time, or may exert more control over offerings conducted in Hong Kong and overseas, which could result in substantial costs and divert our resources and the attention of our management; we also face risks associated with regulatory approvals on offerings conducted overseas and foreign investment in China-based issuers, anti-monopoly regulatory actions, and oversight on cybersecurity and data privacy failure to comply with such laws and regulations may negatively impact our ability to conduct certain businesses, access foreign investments, or list on a foreign stock exchange. The PRC government has significant authority to exert influence on the ability of a company with operations in China to conduct business. The PRC government has initiated a series of regulatory actions and has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 and expanding efforts in anti-monopoly enforcement and data privacy protection. However,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and, if any, the potential impact such modified or new laws and regulations will have on our daily business operation, ability to accept foreign investments and listing of our securities on a U.S. or other foreign exchange. Any actions by the PRC government to exert more oversight and control over offerings that are conducted overseas and/or foreign investment could significantly limit or completely hinder our ability to offer or continue to offer securities to investors and cause the value of such securities to significantly decline or be worthless.</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addition, according to Circular on the Arrangements for the Filing-based Administration of Overseas Securities Offering and Listing by Domestic Companies issued by the CSRC on February 17, 2023, from the implementation date of the Overseas Listing Trial Measures, domestic enterprises subject to the scope of filing that have offered shares or been listed overseas, or have met the following conditions shall be deemed as “existing enterprises”, which are not required to go through the filing immediately. Jingtian &amp; Gongcheng, our counsel as to PRC laws, has advised that based on the aforementioned criteria, in connection with our previous issuance of securities to foreign investors, under current PRC laws, regulations and regulatory rules, as of the date of this prospectus, we and our PRC subsidiaries, (i) are not required to obtain permissions from the China Securities Regulatory Commission (the “CSRC”), (ii) are not required to go through cybersecurity review by the Cyberspace Administration of China (the “CAC”), and (iii) have not been asked to obtain or were denied such permissions by any PRC authority. However, the PRC government has recently indicated an intent to exert more oversight and control over offerings that are conducted overseas and/or foreign investment in China-based issuers. For more detailed information, see the section of the risk factors included in our Annual Report incorporated by reference herein, entitled “Item 3.D. Key Information—Risk Factors—Risks Relating to Conducting Business in China—We may be required to obtain approval or subject to filings or other requirements from the CSRC or other PRC regulatory authorities in connection with our offshore offerings under PRC law, and we cannot predict whether we will be able to or how long it will take to complete such filings.”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Furthermore, as more stringent criteria have been imposed by the SEC and the Public Company Accounting Oversight Board (the “PCAOB”) recently, our securities may be prohibited from trading on a national exchange or over-the-counter under the Holding Foreign Companies Accountable Act (the “HFCAA”) and related regulations, if the PCAOB is unable to inspect our auditors for two consecutive years beginning in 2022. As a result, an exchange may determine to delist our securities. The PCAOB issued a Determination Report on December 16, 2021 which found that the PCAOB was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Furthermore, the PCAOB’s report identified the specific registered public accounting firms which were subject to these determinations. On December 29, 2022, legislation entitled “Consolidated Appropriations Act, 2023” (the “Consolidated Appropriations Act”), was signed into law, which reduces the number of consecutive non- inspection years required for triggering the prohibitions under the Holding Foreign Companies Accountable Act from three years to two.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it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Our financial statements have been audited by an independent registered public accounting firm that is headquartered in the United States who is subject to laws in the United States pursuant to which the PCAOB conducts regular inspections to assess an auditor’s compliance with the applicable professional standards, and has been inspected by the PCAOB on a regular basis. Our auditor is not among the PCAOB-registered public accounting firms headquartered in the PRC or Hong Kong that are subject to PCAOB’s determination on December 16, 2021 of having been unable to inspect or investigate completely. As of the date of this prospectus, we have not been identified by the SEC as a commission-identified issuer under the HFCAA. However, there is a risk that our auditor cannot be inspected by the PCAOB in the future. The lack of inspection could cause trading in our securities to be prohibited under the HFCAA, and, as a result, The Nasdaq Stock Market LLC (“Nasdaq”) may determine to delist our securities, which may cause the value of our securities to decline or become worthless. See the risks disclosed in our Annual Report under “Item 3.D. Key Information—Risk Factors—Risks Relating to Conducting Business in China— Although the financial statements contained in this annual report were issued by U.S. auditors who are currently inspected by the PCAOB, if it is later determined that the PCAOB is unable to inspect or investigate our auditor completely, investors would be deprived of the benefits of such inspection and our Class A ordinary shares may be delisted or prohibited from trading.”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Cayman Islands holding company, Ebang relies on dividends and other distributions on equity paid by its operating subsidiaries for cash and financing requirements, including the funds necessary to pay dividends and other cash distributions to its shareholders or to service any expenses it may incur. Our subsidiaries’, including PRC subsidiaries’, ability to distribute dividends is based upon their distributable earnings. Current PRC regulations permit our PRC subsidiaries to pay dividends to their respective shareholders only out of their accumulated profits, if any, as determined in accordance with PRC accounting standards and regulations. In addition, under PRC law, each of our PRC subsidiaries is required to set aside at least 10% of its after-tax profits each year, if any, to fund certain statutory reserve funds until such reserve funds reach 50% of its registered capital. The after-tax profits shall be used to cover the loss that the PRC subsidiaries made in a previous financial year before any statutory reserve is drawn therefrom, if the statutory reserve is insufficient to cover such loss. These reserves are not distributable as cash dividends. If each of our PRC subsidiaries incurs debt on its own behalf in the future, the instruments governing such debt may restrict its ability to pay dividends to Ebang. According to the relevant PRC regulations on Foreign Exchange Administration of the Overseas Direct Investment of Domestic Institutions, the operating subsidiaries of Ebang who remit dividends to Ebang shall, on the basis of the approval document issued by the competent administrative department of overseas direct investment (the State Administration of Foreign Exchange of the PRC (“SAFE”) and its branch offices) and the foreign exchange registration certificate for overseas direct investment, handle the formalities for the outward remittance of funds for overseas direct investment at a designated foreign exchange bank. The designated foreign exchange bank shall handle the formalities for the domestic institution after an authenticity check.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date, there have not been any such dividends or other distributions from our PRC subsidiaries to our subsidiaries located outside of China. In addition, as of the date of this prospectus, PRC subsidiaries have never issued any dividends or distributions to Ebang or its shareholders outside of China. Furthermore, as of the date of this prospectus, neither Ebang nor any of its subsidiaries have ever paid dividends or made distributions to U.S. investors. For risks relating to the fund flows of our operations in China, see the risks disclosed in our Annual Report under “Item 3. Key Information—D. Risk Factors—Risks Relating to Conducting Business in China—Our corporate structure may restrict our ability to receive dividends from, and transfer funds to, our PRC operating subsidiaries, which could restrict our ability to act in response to changing market conditions in a timely manner.”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Ebang is permitted under PRC laws and regulations as an offshore holding company to provide funding to its PRC subsidiaries in China through shareholder loans or capital contributions, subject to satisfaction of applicable government registration, approval and filing requirements. According to the relevant PRC regulations on foreign-invested enterprises in China, there are no quantity limits on Ebang’s ability to make capital contributions to its PRC subsidiaries. However, our PRC subsidiaries may not procure loans which exceed one of the following criteria: (i) the difference between their respective registered capital and total investment amount as recorded in the Foreign Investment Comprehensive Management Information System; or (ii) the upper limit of risk-weighted outstanding cross-border financings, which equals to the capital or net assets multiplied by the cross-border financing leverage ratio multiplied by the macro-prudential adjustment parameter.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Cayman Islands holding company and the majority of our assets are located outside of the United States. In addition,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See the risks disclosed under “Item 3.D. Key Information—Risk Factors— Risks Relating to Our Securities - Certain judgments obtained against us by our shareholders may not be enforceable” in our Annual Report, which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any securities unless accompanied by a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5765"/>
        <w:gridCol w:w="60"/>
        <w:gridCol w:w="245"/>
      </w:tblGrid>
      <w:tr>
        <w:trPr/>
        <w:tc>
          <w:tcPr>
            <w:tcW w:w="5765" w:type="dxa"/>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WHERE YOU CAN FIND MORE INFORMATION ABOUT US</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iii</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INCORPORATION OF DOCUMENTS BY REFERENCE</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iv</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v</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OUR COMPANY</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ENFORCEABILITY OF CIVIL LIABILITIES</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TAXATION</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THE SECURITIES</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SHARE CAPITAL</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DEBT SECURITIES</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DESCRIPTION OF WARRANTS</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23</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SUBSCRIPTION RIGHTS</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DESCRIPTION OF UNITS</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26</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PLAN OF DISTRIBUTION</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27</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center"/>
              <w:rPr/>
            </w:pPr>
            <w:r>
              <w:rPr/>
              <w:t> </w:t>
            </w:r>
          </w:p>
        </w:tc>
        <w:tc>
          <w:tcPr>
            <w:tcW w:w="2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30</w:t>
            </w:r>
          </w:p>
        </w:tc>
      </w:tr>
      <w:tr>
        <w:trPr/>
        <w:tc>
          <w:tcPr>
            <w:tcW w:w="576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prospectus supplement together with the additional information described under the heading “Where You Can Find More Information About Us” and “Incorporation of Documents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105"/>
        <w:gridCol w:w="200"/>
        <w:gridCol w:w="7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pPr>
            <w:r>
              <w:rPr/>
              <w:t>“</w:t>
            </w:r>
            <w:r>
              <w:rPr>
                <w:rFonts w:ascii="Times New Roman;Times;Serif" w:hAnsi="Times New Roman;Times;Serif"/>
                <w:sz w:val="20"/>
              </w:rPr>
              <w:t>ASICs” means application-specific ICs, meaning ICs designed for a specific application;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China” and the “PRC” means the People’s Republic of China, excluding, for the purposes of this prospectus only, Taiwan, the Hong Kong Special Administrative Region and the Macao Special Administrative Region;</w:t>
            </w:r>
          </w:p>
        </w:tc>
      </w:tr>
    </w:tbl>
    <w:p>
      <w:pPr>
        <w:pStyle w:val="TextBody"/>
        <w:bidi w:val="0"/>
        <w:spacing w:before="0" w:after="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05"/>
        <w:gridCol w:w="200"/>
        <w:gridCol w:w="32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pPr>
            <w:r>
              <w:rPr/>
              <w:t>“</w:t>
            </w:r>
            <w:r>
              <w:rPr>
                <w:rFonts w:ascii="Times New Roman;Times;Serif" w:hAnsi="Times New Roman;Times;Serif"/>
                <w:sz w:val="20"/>
              </w:rPr>
              <w:t>Fintech” means financial technology;</w:t>
            </w:r>
          </w:p>
        </w:tc>
      </w:tr>
    </w:tbl>
    <w:p>
      <w:pPr>
        <w:pStyle w:val="TextBody"/>
        <w:bidi w:val="0"/>
        <w:spacing w:before="0" w:after="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05"/>
        <w:gridCol w:w="200"/>
        <w:gridCol w:w="3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w:t>
            </w:r>
            <w:r>
              <w:rPr>
                <w:rFonts w:ascii="Times New Roman;Times;Serif" w:hAnsi="Times New Roman;Times;Serif"/>
                <w:sz w:val="20"/>
              </w:rPr>
              <w:t>ICs” or “chips” means integrated circuits;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
        <w:gridCol w:w="214"/>
        <w:gridCol w:w="9872"/>
      </w:tblGrid>
      <w:tr>
        <w:trPr/>
        <w:tc>
          <w:tcPr>
            <w:tcW w:w="119" w:type="dxa"/>
            <w:tcBorders/>
            <w:vAlign w:val="center"/>
          </w:tcPr>
          <w:p>
            <w:pPr>
              <w:pStyle w:val="TableContents"/>
              <w:bidi w:val="0"/>
              <w:spacing w:before="0" w:after="283"/>
              <w:jc w:val="left"/>
              <w:rPr/>
            </w:pPr>
            <w:r>
              <w:rPr/>
              <w:t xml:space="preserve">  </w:t>
            </w:r>
          </w:p>
        </w:tc>
        <w:tc>
          <w:tcPr>
            <w:tcW w:w="214" w:type="dxa"/>
            <w:tcBorders/>
            <w:vAlign w:val="center"/>
          </w:tcPr>
          <w:p>
            <w:pPr>
              <w:pStyle w:val="TableContents"/>
              <w:bidi w:val="0"/>
              <w:spacing w:before="0" w:after="283"/>
              <w:jc w:val="left"/>
              <w:rPr/>
            </w:pPr>
            <w:r>
              <w:rPr/>
              <w:t xml:space="preserve">● </w:t>
            </w:r>
          </w:p>
        </w:tc>
        <w:tc>
          <w:tcPr>
            <w:tcW w:w="9872" w:type="dxa"/>
            <w:tcBorders/>
            <w:vAlign w:val="center"/>
          </w:tcPr>
          <w:p>
            <w:pPr>
              <w:pStyle w:val="TableContents"/>
              <w:bidi w:val="0"/>
              <w:spacing w:before="0" w:after="283"/>
              <w:jc w:val="both"/>
              <w:rPr/>
            </w:pPr>
            <w:r>
              <w:rPr/>
              <w:t>“</w:t>
            </w:r>
            <w:r>
              <w:rPr>
                <w:rFonts w:ascii="Times New Roman;Times;Serif" w:hAnsi="Times New Roman;Times;Serif"/>
                <w:sz w:val="20"/>
              </w:rPr>
              <w:t>PRC operating subsidiaries” means, for the purpose of this prospectus, primarily, Zhejiang Ebang Communication Technology Co., Ltd. (“Zhejiang Ebang”), Hangzhou Yibang Botong Technology Co., Ltd. (“Hangzhou Yibang Botong”), Hangzhou Ebang Shengye Technology Co., Ltd. (“Hangzhou Ebang Shengye”), Hangzhou Ebang Hongkun Technology Co., Ltd. (“Hangzhou Ebang Hongkun”) and Yibang New Materials (Inner Mongolia) Co., Ltd.;</w:t>
            </w:r>
            <w:r>
              <w:rPr/>
              <w:t xml:space="preserve">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
        <w:gridCol w:w="206"/>
        <w:gridCol w:w="9888"/>
      </w:tblGrid>
      <w:tr>
        <w:trPr/>
        <w:tc>
          <w:tcPr>
            <w:tcW w:w="11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9888" w:type="dxa"/>
            <w:tcBorders/>
            <w:vAlign w:val="center"/>
          </w:tcPr>
          <w:p>
            <w:pPr>
              <w:pStyle w:val="TableContents"/>
              <w:bidi w:val="0"/>
              <w:spacing w:before="0" w:after="283"/>
              <w:jc w:val="both"/>
              <w:rPr/>
            </w:pPr>
            <w:r>
              <w:rPr/>
              <w:t>“</w:t>
            </w:r>
            <w:r>
              <w:rPr>
                <w:rFonts w:ascii="Times New Roman;Times;Serif" w:hAnsi="Times New Roman;Times;Serif"/>
                <w:sz w:val="20"/>
              </w:rPr>
              <w:t>PRC subsidiaries” means, for the purpose of this prospectus, primarily, PRC operating subsidiaries, Hangzhou Ebang Hongfa Technology Co., Ltd. (“Ebang Hongfa”), Hangzhou Ebang Shuotai Technology Co., Ltd. (“Hangzhou Ebang Shuotai”), Hangzhou Dewang Information Technology Co., Ltd. (“Hangzhou Dewang”), Zhejiang Ebang Communication Co., Ltd. (“Zhejiang Ebang Communication”) , Hangzhou Bangyun Information Technology Co., Ltd. (formerly known as Yunnan Ebang Information Technology Co., Ltd.) (“Hangzhou Bangyun”), Hangzhou Yijiaxin IC Design Co., Ltd. (“Hangzhou Yijiaxin”), Redback Technologies (Hangzhou) Co., Ltd. (formerly known as Redback Technologies (Shanghai) Co., Ltd.) (“Redback Hangzhou”), Huzhou Yibang Zhiyuan New Materials Co., Ltd. (formerly known as Hangzhou Yibang Zhiyuan New Materials Co., Ltd.) and Hangzhou Jucheng Information Technology Co., Ltd.;</w:t>
            </w:r>
            <w:r>
              <w:rPr/>
              <w:t xml:space="preserve">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operating subsidiaries” means, for the purpose of this prospectus, primarily, PRC operating subsidiaries, Ebonex Australia Pty Ltd (“Ebonex Australia”), Ebon Operations Australia Pty Ltd  (“Ebon Operations”), Ebonfx Australia Pty Ltd (formerly known as Compass Global Holdings Pty Ltd) (“Ebonfx Australia”), Ebon Financial Services Pty Limited (“Ebon Financial Services”), Redback Technologies Holdings Pty Ltd (“Redback Technologies”), Redback Operations Pty Ltd (“Redback Operations”), Luceo Australia Pty Ltd (“Luceo Australia”), Luceo Management Pty Ltd (“Luceo Management”), Ebang Communications (HK) Technology Limited (formerly known as Hong Kong Bite Co., Limited) (“HK Ebang Communications”), HongKong Ebang Digital Technology Limited (“HK Ebang Digital”), and Ebon Solar Inc. (“Ebon Solar”);</w:t>
            </w:r>
          </w:p>
        </w:tc>
      </w:tr>
    </w:tbl>
    <w:p>
      <w:pPr>
        <w:pStyle w:val="TextBody"/>
        <w:bidi w:val="0"/>
        <w:spacing w:before="0" w:after="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105"/>
        <w:gridCol w:w="200"/>
        <w:gridCol w:w="8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pPr>
            <w:r>
              <w:rPr/>
              <w:t>“</w:t>
            </w:r>
            <w:r>
              <w:rPr>
                <w:rFonts w:ascii="Times New Roman;Times;Serif" w:hAnsi="Times New Roman;Times;Serif"/>
                <w:sz w:val="20"/>
              </w:rPr>
              <w:t>shares” or “Class A ordinary shares” means our Class A ordinary shares, par value HK$0.03 per share;</w:t>
            </w:r>
          </w:p>
        </w:tc>
      </w:tr>
    </w:tbl>
    <w:p>
      <w:pPr>
        <w:pStyle w:val="TextBody"/>
        <w:bidi w:val="0"/>
        <w:spacing w:before="0" w:after="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05"/>
        <w:gridCol w:w="200"/>
        <w:gridCol w:w="74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pPr>
            <w:r>
              <w:rPr/>
              <w:t>“</w:t>
            </w:r>
            <w:r>
              <w:rPr>
                <w:rFonts w:ascii="Times New Roman;Times;Serif" w:hAnsi="Times New Roman;Times;Serif"/>
                <w:sz w:val="20"/>
              </w:rPr>
              <w:t>US$,” “U.S. Dollars,” “$” and “dollars” means the legal currency of the United States;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we,” “us,” “our company,” the “Company,” “Ebang,” “Ebang International” and “our” means Ebang International Holdings Inc., our Cayman Islands holding company and from time to time, in the context of describing our business, our operations and consolidated financial information, Ebang International Holdings Inc. and its subsidiaries.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using a “shelf” registration process permitted under the Securities Act. By using a shelf registration statement, we may sell our Class A ordinary shares, debt securities, warrants, subscription rights, units or any combination of any of the foregoing having an aggregate offering price of up to US$75,000,000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of the securities, you should carefully read both this prospectus and any prospectus supplement, together with the additional information described under the heading “Where You Can Find More Information About Us” and “Incorporation of Documents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WHERE YOU CAN FIND MORE INFORMATION ABOUT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Securities Exchange Act of 1934, as amended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The SEC also maintains a web 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that contains reports, proxy and information statements, and other information regarding registrants that make electronic filings with the SEC using its EDGAR system. We also maintain a website at </w:t>
      </w:r>
      <w:r>
        <w:rPr>
          <w:rFonts w:ascii="Times New Roman;Times;Serif" w:hAnsi="Times New Roman;Times;Serif"/>
          <w:b w:val="false"/>
          <w:i/>
          <w:caps w:val="false"/>
          <w:smallCaps w:val="false"/>
          <w:sz w:val="20"/>
        </w:rPr>
        <w:t>http://www.ebang.com</w:t>
      </w:r>
      <w:r>
        <w:rPr>
          <w:rFonts w:ascii="Times New Roman;Times;Serif" w:hAnsi="Times New Roman;Times;Serif"/>
          <w:b w:val="false"/>
          <w:i w:val="false"/>
          <w:caps w:val="false"/>
          <w:smallCaps w:val="false"/>
          <w:sz w:val="20"/>
        </w:rPr>
        <w:t>, but information contained on, or linked from, our website is not incorporated by reference in this prospectus or any prospectus supplement or the registration statement of which they form a part. You should not regard any information on our website as a part of this prospectus or any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foreign private issuer, we are exempt under the Exchange Act from, among other things, the rules prescribing the furnishing and content of proxy statements to shareholders, and our executive officers, directors and principal shareholders are exempt from the short-swing profit recovery provisions contained in Section 16 of the Exchange Act, and our principal shareholders are also exempt from the reporting provisions contained in Section 16 of the Exchange Act. In addition, we are not required under the Exchange Act to file periodic reports and financial statements with the SEC as frequently or as promptly as U.S. companies whose securities are registered under the Exchange Act. All information filed with the SEC can be inspected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through the SEC’s website, as provided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INCORPORATION OF DOCUMENTS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that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z w:val="20"/>
                </w:rPr>
                <w:t>Form 20-F</w:t>
              </w:r>
            </w:hyperlink>
            <w:r>
              <w:rPr>
                <w:rFonts w:ascii="Times New Roman;Times;Serif" w:hAnsi="Times New Roman;Times;Serif"/>
                <w:sz w:val="20"/>
              </w:rPr>
              <w:t xml:space="preserve"> for the fiscal year ended December 31, 2025 filed with the SEC on April 24, 2026;</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Class A ordinary shares contained in (i) our registration statement on </w:t>
            </w:r>
            <w:hyperlink r:id="rId4">
              <w:r>
                <w:rPr>
                  <w:rStyle w:val="InternetLink"/>
                  <w:rFonts w:ascii="Times New Roman;Times;Serif" w:hAnsi="Times New Roman;Times;Serif"/>
                  <w:sz w:val="20"/>
                </w:rPr>
                <w:t>Form 8-A</w:t>
              </w:r>
            </w:hyperlink>
            <w:r>
              <w:rPr>
                <w:rFonts w:ascii="Times New Roman;Times;Serif" w:hAnsi="Times New Roman;Times;Serif"/>
                <w:sz w:val="20"/>
              </w:rPr>
              <w:t xml:space="preserve">, filed with the SEC on June 17, 2020 under Section 12(b) of the Exchange Act, including any amendments or reports filed for the purpose of updating such description and (ii) </w:t>
            </w:r>
            <w:hyperlink r:id="rId5">
              <w:r>
                <w:rPr>
                  <w:rStyle w:val="InternetLink"/>
                  <w:rFonts w:ascii="Times New Roman;Times;Serif" w:hAnsi="Times New Roman;Times;Serif"/>
                  <w:sz w:val="20"/>
                </w:rPr>
                <w:t>Exhibit 2.5</w:t>
              </w:r>
            </w:hyperlink>
            <w:r>
              <w:rPr>
                <w:rFonts w:ascii="Times New Roman;Times;Serif" w:hAnsi="Times New Roman;Times;Serif"/>
                <w:sz w:val="20"/>
              </w:rPr>
              <w:t>—Description of Securities Registered Pursuant to Section 12 of the Securities Exchange Act of 1934, to our Annual Report on Form 20-F for the fiscal year ended December 31, 2025, filed with the SEC on April 24, 2026;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each offering of securities under this prospectus, all of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such offering by means of this prospectus.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 Hu, Chief Executive Officer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(972) 689-1452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ir@ebang.com</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East John Carpenter Freeway, Suite 110</w:t>
        <w:br/>
        <w:t>Irving, Texas 75062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these filings are also available on our website at www.ebang.com. For other ways to obtain a copy of these filings, please refer to “Where You Can Find More Information About Us”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any prospectus supplement.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and any prospectus supplement, and the documents that we reference herein and therein and have filed as exhibits to this Registration Statement, contain “forward-looking statements” within the meaning of Section 21(E) of the Exchange Act and Section 27A of the Securities Act, which reflect our current expectations and views of future events. Known and unknown risks, uncertainties and other factors, including those listed in the section entitled “Risk Factors,”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  </w:t>
      </w:r>
    </w:p>
    <w:p>
      <w:pPr>
        <w:pStyle w:val="TextBody"/>
        <w:bidi w:val="0"/>
        <w:spacing w:before="0" w:after="0"/>
        <w:jc w:val="left"/>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68"/>
        <w:gridCol w:w="200"/>
        <w:gridCol w:w="20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and operating strategies and plans for the development of existing and new businesses, ability to implement such strategies and plans and expected time;</w:t>
            </w:r>
          </w:p>
        </w:tc>
      </w:tr>
    </w:tbl>
    <w:p>
      <w:pPr>
        <w:pStyle w:val="TextBody"/>
        <w:bidi w:val="0"/>
        <w:spacing w:before="0" w:after="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05"/>
        <w:gridCol w:w="200"/>
        <w:gridCol w:w="64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p>
      <w:pPr>
        <w:pStyle w:val="TextBody"/>
        <w:bidi w:val="0"/>
        <w:spacing w:before="0" w:after="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
        <w:gridCol w:w="200"/>
        <w:gridCol w:w="468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revenues, costs or expenditures;</w:t>
            </w:r>
          </w:p>
        </w:tc>
      </w:tr>
    </w:tbl>
    <w:p>
      <w:pPr>
        <w:pStyle w:val="TextBody"/>
        <w:bidi w:val="0"/>
        <w:spacing w:before="0" w:after="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05"/>
        <w:gridCol w:w="200"/>
        <w:gridCol w:w="177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dividend policy;</w:t>
            </w:r>
          </w:p>
        </w:tc>
      </w:tr>
    </w:tbl>
    <w:p>
      <w:pPr>
        <w:pStyle w:val="TextBody"/>
        <w:bidi w:val="0"/>
        <w:spacing w:before="0" w:after="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05"/>
        <w:gridCol w:w="200"/>
        <w:gridCol w:w="74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products and services;</w:t>
            </w:r>
          </w:p>
        </w:tc>
      </w:tr>
    </w:tbl>
    <w:p>
      <w:pPr>
        <w:pStyle w:val="TextBody"/>
        <w:bidi w:val="0"/>
        <w:spacing w:before="0" w:after="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105"/>
        <w:gridCol w:w="200"/>
        <w:gridCol w:w="67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relationships with customers and business partners;</w:t>
            </w:r>
          </w:p>
        </w:tc>
      </w:tr>
    </w:tbl>
    <w:p>
      <w:pPr>
        <w:pStyle w:val="TextBody"/>
        <w:bidi w:val="0"/>
        <w:spacing w:before="0" w:after="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105"/>
        <w:gridCol w:w="200"/>
        <w:gridCol w:w="91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trends in, expected growth in and market size of the industries in the markets we have business and globally;</w:t>
            </w:r>
          </w:p>
        </w:tc>
      </w:tr>
    </w:tbl>
    <w:p>
      <w:pPr>
        <w:pStyle w:val="TextBody"/>
        <w:bidi w:val="0"/>
        <w:spacing w:before="0" w:after="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
        <w:gridCol w:w="200"/>
        <w:gridCol w:w="468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and enhance our market position;</w:t>
            </w:r>
          </w:p>
        </w:tc>
      </w:tr>
    </w:tbl>
    <w:p>
      <w:pPr>
        <w:pStyle w:val="TextBody"/>
        <w:bidi w:val="0"/>
        <w:spacing w:before="0" w:after="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05"/>
        <w:gridCol w:w="200"/>
        <w:gridCol w:w="776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to develop new technologies and/or upgrade our existing technologies;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or changes to, laws, regulations, governmental policies, incentives and taxation affecting our operations, in particular in the industries in which we conduct our business;</w:t>
            </w:r>
          </w:p>
        </w:tc>
      </w:tr>
    </w:tbl>
    <w:p>
      <w:pPr>
        <w:pStyle w:val="TextBody"/>
        <w:bidi w:val="0"/>
        <w:spacing w:before="0" w:after="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105"/>
        <w:gridCol w:w="200"/>
        <w:gridCol w:w="714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governmental policies and regulations relating to our businesses and industry;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competitive environment, competitive landscape and potential competitor behavior in our industry; overall industry outlook in our industry;</w:t>
            </w:r>
          </w:p>
        </w:tc>
      </w:tr>
    </w:tbl>
    <w:p>
      <w:pPr>
        <w:pStyle w:val="TextBody"/>
        <w:bidi w:val="0"/>
        <w:spacing w:before="0" w:after="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05"/>
        <w:gridCol w:w="200"/>
        <w:gridCol w:w="573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train and retain executives and other employees;</w:t>
            </w:r>
          </w:p>
        </w:tc>
      </w:tr>
    </w:tbl>
    <w:p>
      <w:pPr>
        <w:pStyle w:val="TextBody"/>
        <w:bidi w:val="0"/>
        <w:spacing w:before="0" w:after="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development of the global financial and capital markets;</w:t>
            </w:r>
          </w:p>
        </w:tc>
      </w:tr>
    </w:tbl>
    <w:p>
      <w:pPr>
        <w:pStyle w:val="TextBody"/>
        <w:bidi w:val="0"/>
        <w:spacing w:before="0" w:after="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05"/>
        <w:gridCol w:w="200"/>
        <w:gridCol w:w="47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inflation, interest rates and exchange rates;</w:t>
            </w:r>
          </w:p>
        </w:tc>
      </w:tr>
    </w:tbl>
    <w:p>
      <w:pPr>
        <w:pStyle w:val="TextBody"/>
        <w:bidi w:val="0"/>
        <w:spacing w:before="0" w:after="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105"/>
        <w:gridCol w:w="200"/>
        <w:gridCol w:w="791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business, political, social and economic conditions in the markets we have business; and</w:t>
            </w:r>
          </w:p>
        </w:tc>
      </w:tr>
    </w:tbl>
    <w:p>
      <w:pPr>
        <w:pStyle w:val="TextBody"/>
        <w:bidi w:val="0"/>
        <w:spacing w:before="0" w:after="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105"/>
        <w:gridCol w:w="200"/>
        <w:gridCol w:w="480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underlying or related to any of the foregoing.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You should thoroughly read this prospectus, any prospectus supplement and the documents that we refer to with the understanding that our actual future results may be materially different from and worse than what we expect. In addition, the rapidly changing nature of the industries in which we operate our businesses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 We qualify all of our forward-looking statements by these cautionary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prospectus or any prospectus supplement, or the information incorporated by reference herein relate only to events or information as of the date on which the statements are made in such document.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6" w:name="A_005"/>
      <w:bookmarkEnd w:id="6"/>
      <w:r>
        <w:rPr>
          <w:rFonts w:ascii="Times New Roman;Times;Serif" w:hAnsi="Times New Roman;Times;Serif"/>
          <w:b/>
          <w:i w:val="false"/>
          <w:caps w:val="false"/>
          <w:smallCaps w:val="false"/>
          <w:sz w:val="20"/>
          <w:bdr w:val="single" w:sz="12" w:space="5" w:color="000000"/>
        </w:rPr>
        <w:t>OUR COMPANY</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years of manufacturing experience and expertise in blockchain technology and Fintech, we have established ourselves as a key participant in these fields. Leveraging advanced technologies and cutting-edge financial services, our Fintech service platforms have been widely recognized by the market. Striving to diversify our offerings to achieve a more stable financial performance, we expanded into the renewable energy sector in Australia in November 2024, underscoring our commitment to sustainability and long-term growth. In the foreseeable future, we will continue to focus on our renewable energy business and further explore opportunities in related businesses, while proactively adapting to changes in market demand and seizing new development opportunities Our diversified model enables us to explore synergies across our businesses, driving value for our Company and shareholders.</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business lines are: Fintech, renewable energy, telecommunications, and blockchain products. Our Fintech businesses are primarily composed of our cryptocurrency exchange and cross-border payment and foreign exchange. Our renewable energy business was launched in November 2024 through the acquisition of Redback Technologies, which has been in operation for over 10 years in Australia. This business primarily offers solar and battery storage solutions and Software as a Service (“SaaS”) data visualization and analytics solutions. Our telecommunications business focuses on access-layer network devices that connect end users to telecommunications networks, with two main product lines and supporting components: Fiber-Optic Communication Access Devices and Enterprise Convergent Communication Terminals. Our blockchain products business is our legacy business that consists primarily of Bitcoin mining machine sales. Our legacy is built on our strong ASIC chip design capability, profound expertise and technical reserves, as well as years of manufacturing experience. To achieve a more stable financial performance, we are focused on consolidating our Fintech business, developing our renewable energy business, and exploring opportunities in emerging sectors. We intend to continue to concentrate our efforts in our core and related business areas in the foreseeable future, while remaining adaptable to market demands and open to new opportunities. As industry conditions, regulatory environments and market demand continue to evolve, we may adjust our strategic deployment, business focus and operating model from time to time. Our strategic plan will evolve as we identify and pursue growth initiatives that support the long-term development of our business and value creation for our shareholders.</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600 East John Carpenter Freeway, Suite 110, Irving, Texas 75062 . Our telephone number at this address is (972) 689-1452. Our registered office in the Cayman Islands is located at Cricket Square, Hutchins Drive, P.O. Box 2681, Grand Cayman KY1-1111.</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 You should carefully consider the risk factors and uncertainties described in this prospectus and under the heading “Item 3. Key Information—D. Risk Factors” in our Annual Report, which is incorporated in this prospectus by reference, as updated by our subsequent filings under the Exchange Act, the information contained under the heading “Special Note Regarding Forward-Looking Statements” in this prospectus or under any similar heading in any applicable prospectus supplement or in any document incorporated herein or therein by reference, any specific risk factors discussed under the caption “Risk Factors” in any applicable prospectus supplement or in any document incorporated herein or therein by reference and the other information contained in, or incorporated by reference in, this prospectus or any applicable prospectus supplement before investing in any of the securities that may be offered or sold pursuant to this prospectus. If these risks and uncertainties occur, they could materially affect our business, results of operations or financial condition and cause the value of our securities to decline and you could lose all or part of your investment.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potential changes in PRC laws and regulations could affect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a civil law system based on written statutes. Unlike the common law system, prior court decisions may be cited for reference but have limited precedential value. The PRC legal system is evolving rapidly and there are changes from time to time arising from the legal system in China, which include uncertainties regarding new legislation, regulations or interpretations governing our business activities, which may be promulgated or adopted; there is a risk that the Chinese government may intervene or influence our operations at any time, or may exert more control over offerings conducted in Hong Kong and overseas, which could result in substantial costs and divert our resources and the attention of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However, since PRC administrative and court authorities have significant discretion in interpreting and implementing statutory and contractual terms, this could also result in substantial costs and divert our resources and the attention of our management. Any failure to respond to changes in the regulatory environment in China could materially and adversely affect our business and impede our ability to continue our operations.</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government authorities may strengthen oversight over offerings that are conducted overseas and/or foreign investment in overseas-listed China-based issuers like us from time to time. Such actions taken by the PRC government authorities may influence our operations,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registered as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4 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ENFORCEABILITY OF CIVIL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to take advantage of certain benefits associated with being a Cayman Islands exempted company:</w:t>
      </w:r>
    </w:p>
    <w:p>
      <w:pPr>
        <w:pStyle w:val="TextBody"/>
        <w:bidi w:val="0"/>
        <w:spacing w:before="0" w:after="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05"/>
        <w:gridCol w:w="200"/>
        <w:gridCol w:w="27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05"/>
        <w:gridCol w:w="200"/>
        <w:gridCol w:w="237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05"/>
        <w:gridCol w:w="200"/>
        <w:gridCol w:w="195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exhaustive body of securities laws than the United States and these securities laws provide significantly less protection to investors; and</w:t>
            </w:r>
          </w:p>
        </w:tc>
      </w:tr>
    </w:tbl>
    <w:p>
      <w:pPr>
        <w:pStyle w:val="TextBody"/>
        <w:bidi w:val="0"/>
        <w:spacing w:before="0" w:after="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05"/>
        <w:gridCol w:w="200"/>
        <w:gridCol w:w="83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conducted a majority of our operations outside the United States, and a majority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Conyers Dill &amp; Pearman, our counsel as to Cayman Islands laws, has advised us that there is uncertainty as to whether the courts in the Cayman Islands would (1) recognize or enforce judgments of United States courts obtained against us or our directors or officers to impose liabilities against us predicated upon the civil liability provisions of the securities laws of the United States or any state in the United States; or (2) entertain original actions brought in each respective jurisdiction against us or our directors or officers predicated upon the federal securities laws of the United States or the securities laws of any state in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5 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obtained in the federal or state courts in the United States under which a sum of money is payable (other than a sum of money payable in respect of multiple damages, taxes or other charges of a like nature or in respect of a fine or other penalty) or, in certain circumstances,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punitive judgment of a United States court predicated upon the civil liability provisions of the federal securities laws in the United States without retrial on the merits if such judgment is determined by the courts of the Cayman Islands to give rise to obligations to make payments that may be regarded as fines, penalties or punitive in nature. Because such a determination has not yet been made by a court of the Cayman Islands, it is uncertain whether such civil liability judgments from United States courts would be enforceable in the Cayman Islands. A Cayman Islands court may stay enforcement proceedings if concurrent proceedings are being brought elsewhere.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Jingtian &amp; Gongcheng, our counsel as to PRC laws, has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does not have any treaties or other agreements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description of risks related to enforceability of civil liabilities, see the section of the risk factors included in our Annual Report entitled “Item 3.D. Key Information—Risk Factors—Risks Relating to Our Securities—Certain judgments obtained against us by our shareholders may not be enforceable” and “—You may face difficulties in protecting your interests in the Company, and your ability to protect your rights through U.S. courts may be limited, because we are incorporated under Cayman Islands law and conduct our operations primarily in emerging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6 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TAXATION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any of the securities offered by this prospectus will be set forth in the applicable prospectus supplement relating to the offering of those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7 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offer and sell from time to time, in one or more offerings, the following securities:</w:t>
      </w:r>
    </w:p>
    <w:p>
      <w:pPr>
        <w:pStyle w:val="TextBody"/>
        <w:bidi w:val="0"/>
        <w:spacing w:before="0" w:after="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05"/>
        <w:gridCol w:w="200"/>
        <w:gridCol w:w="204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 ordinary shares;</w:t>
            </w:r>
          </w:p>
        </w:tc>
      </w:tr>
    </w:tbl>
    <w:p>
      <w:pPr>
        <w:pStyle w:val="TextBody"/>
        <w:bidi w:val="0"/>
        <w:spacing w:before="0" w:after="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05"/>
        <w:gridCol w:w="200"/>
        <w:gridCol w:w="132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debt securities;</w:t>
            </w:r>
          </w:p>
        </w:tc>
      </w:tr>
    </w:tbl>
    <w:p>
      <w:pPr>
        <w:pStyle w:val="TextBody"/>
        <w:bidi w:val="0"/>
        <w:spacing w:before="0" w:after="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05"/>
        <w:gridCol w:w="200"/>
        <w:gridCol w:w="516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to purchase Class A ordinary shares or debt securities;</w:t>
            </w:r>
          </w:p>
        </w:tc>
      </w:tr>
    </w:tbl>
    <w:p>
      <w:pPr>
        <w:pStyle w:val="TextBody"/>
        <w:bidi w:val="0"/>
        <w:spacing w:before="0" w:after="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rights to purchase Class A ordinary shares or debt securities;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units consisting of any combination of Class A ordinary shares, debt securities, warrants to purchase Class A ordinary shares or debt securities and/or subscription rights to purchase Class A ordinary shares or debt securities.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terms and provisions of our ordinary shares, debt securities, warrants to purchase Class A ordinary shares or debt securities, subscription rights to purchase Class A ordinary shares or debt securities and units consisting of any combination of Class A ordinary shares, debt securities, warrants to purchase Class A ordinary shares or debt securities and/or subscription rights to purchase Class A ordinary shares or debt securities, which we may offer and sell using this prospectus. These summaries are not meant to be a complete description of each security. We will set forth in the applicable prospectus supplement a description of the securities that may be offered under this prospectus. The terms of the offering of securities, the initial offering price and the net proceeds to us, as applicable, will be contained in the prospectus supplement and other offering material relating to such offering. The prospectus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8 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SHARE CAPITAL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our affairs are governed by our second amended and restated articles of association (“Articles”) and the Companies Act (As Revised) of the Cayman Islands (the “Companies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second amended and restated memorandum of association, the objects of our company are unrestricted and we have the full power and authority to carry out any object not prohibited by the law of the Cayman Islands. Our authorized share capital is 12,666,666.66 ordinary shares consisting of (a) 11,112,473.90 Class A ordinary shares and (b) 1,554,192.76 Class B ordinary shares, HK$0.03 par value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31, 2026, there were 4,989,746.22 Class A ordinary shares and 1,554,192 Class B ordinary shares issued and outstanding. Our issued and outstanding ordinary shares consist of Class A ordinary shares and Class B ordinary shares. All of our outstanding ordinary shares, which consist of Class A ordinary shares and Class B ordinary shares, are fully paid and non-assessable. Certificates representing the ordinary shares are issued in registered form. Our shareholders who are non-residents of the Cayman Islands may freely hold and transfer their ordinary shares.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our Class A ordinary shares and Class B ordinary shares have the same rights except for voting and conversion rights. The Class A ordinary shares and Class B ordinary shares carry equal rights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one another, including the rights to dividends and other capital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any time by the holder thereof. Class A ordinary shares are not convertible into Class B ordinary shares under any circumstances. Upon any sale of Class B ordinary shares by a holder thereof to any person or entity that is not ultimately controlled by the Founder (as defined in our Articles), such Class B ordinary shares will be automatically and immediately converted into an equal number of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each shareholder is entitled to one vote or, on a poll, each shareholder is entitled to one vote for each Class A ordinary share and 20 votes for each Class B ordinary share, voting together as a single class,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may be demanded by the chairman of such meeting or any shareholder present in person or by proxy.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general meeting requires the affirmative vote of a simple majority of the votes cast, while a special resolution requires the affirmative vote of at least two-thirds of votes attached to all outstanding ordinary shares cast at a general meeting.</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under the symbol “EBON.”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9 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Class A ordinary shares is VStock Transfer, LLC, a California limited liability company with its business address at 18 Lafayette Place, Woodmere, New York 11598.</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provides that our company may (but shall not be obligated to) hold an annual general meeting of shareholders in each calendar year, subject to Cayman Islands laws and the Nasdaq Rules, in which case we shall specify the meeting as such in the notices calling it, and the annual general meeting shall be held as a physical meeting in any part of the world and/or at one or more locations or as a hybrid meeting or as an electronic meeting, at such time and place as may be determined by our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meetings may be convened by a majority of our board of directors or the chairman of our board of directors. Advance notice of at least ten clear days (as defined in the Articles) is required for the convening of our annual general meeting and any other general meeting of our shareholders. Notwithstanding that a meeting is called by shorter notice than that mentioned above, but, subject to the Companies Act, it will be deemed to have been duly called, if it is so agreed (1) in the case of a meeting called as an annual general meeting by all of our shareholders entitled to attend and vote at the meeting; and (2) in the case of any other meeting, by a majority in number of the shareholders holding not less than 95% in nominal value of the issued shares giving that right.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other than the appointment of a chairman may be transacted at any general meeting unless a quorum is present at the commencement of business. However, the absence of a quorum will not preclude the appointment of a chairman. If present, the chairman of our board of directors shall be the chairman presiding at any shareholders’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being a shareholder shall be deemed for the purpose of our Articles to be present in person if represented by its duly authorized representative being the person appointed by resolution of the directors or other governing body of such corporation to act as its representative at the relevant general meeting or at any relevant general meeting of any class of our shareholders. Such duly authorized representative shall be entitled to exercise the same powers on behalf of the corporation that he represents as that corporation could exercise if it were our individual shareholder.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also pay interim dividends, whenever our financial position, in the opinion of our directors, justifies such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10 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restrictions set forth in our Articles,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Global Select Market or in another form that our directors may approve.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and is accompanied by the certificate for the shares to which it relates and such other evidence as our directors may reasonably require to show the right of the transferor to make the transfer;</w:t>
            </w:r>
          </w:p>
        </w:tc>
      </w:tr>
    </w:tbl>
    <w:p>
      <w:pPr>
        <w:pStyle w:val="TextBody"/>
        <w:bidi w:val="0"/>
        <w:spacing w:before="0" w:after="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w:t>
            </w:r>
          </w:p>
        </w:tc>
      </w:tr>
    </w:tbl>
    <w:p>
      <w:pPr>
        <w:pStyle w:val="TextBody"/>
        <w:bidi w:val="0"/>
        <w:spacing w:before="0" w:after="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5"/>
        <w:gridCol w:w="200"/>
        <w:gridCol w:w="789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(in circumstances where stamping is required);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Nasdaq Global Select Market may determine to be payable or such lesser sum as our directors may from time to time require is paid to us in respect thereof.</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11 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received by each holder of a Class A ordinary share and a holder of a Class B ordinary share will be the same in any liquidation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Ordinary Shares and Forfeiture of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our Articles and to the terms of allotment,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Shares, Repurchase and Surrender of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empowered by the Companies Act and our Articles to purchase our own shares, subject to certain restrictions. Our directors may only exercise this power on our behalf, subject to the Companies Act, our Articles and to any applicable requirements imposed from time to time by the Nasdaq Global Select Market, the SEC, or by any other recognized stock exchange on which our securities are listed.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repurchase any of our shares on such terms and in such manner as have been approved by our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such existing class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12 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Additional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authorize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also authorize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05"/>
        <w:gridCol w:w="200"/>
        <w:gridCol w:w="2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series;</w:t>
            </w:r>
          </w:p>
        </w:tc>
      </w:tr>
    </w:tbl>
    <w:p>
      <w:pPr>
        <w:pStyle w:val="TextBody"/>
        <w:bidi w:val="0"/>
        <w:spacing w:before="0" w:after="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bl>
    <w:p>
      <w:pPr>
        <w:pStyle w:val="TextBody"/>
        <w:bidi w:val="0"/>
        <w:spacing w:before="0" w:after="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5"/>
        <w:gridCol w:w="200"/>
        <w:gridCol w:w="51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Articles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Articles for a proper purpose and for what they believe in good faith to be in the best interests of our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ordinary resolution in accordance with the Companies Act alter the conditions of our Articles to:</w:t>
      </w:r>
    </w:p>
    <w:p>
      <w:pPr>
        <w:pStyle w:val="TextBody"/>
        <w:bidi w:val="0"/>
        <w:spacing w:before="0" w:after="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105"/>
        <w:gridCol w:w="200"/>
        <w:gridCol w:w="88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capital by such sum, to be divided into shares of such amounts, as the resolution shall prescribe;</w:t>
            </w:r>
          </w:p>
        </w:tc>
      </w:tr>
    </w:tbl>
    <w:p>
      <w:pPr>
        <w:pStyle w:val="TextBody"/>
        <w:bidi w:val="0"/>
        <w:spacing w:before="0" w:after="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105"/>
        <w:gridCol w:w="200"/>
        <w:gridCol w:w="87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amounts than our existing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which at the date of the passing of the resolution have not been taken or agreed to be taken by any person, and diminish the amount of its share capital by the amount of the shares so cancelled subject to the provisions of the Companies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smaller amount than is fixed by our Articles, subject nevertheless to the Companies Act,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we have power to attach to unissued or new shares;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special resolution, subject to any confirmation or consent required by the Companies Act, reduce our share capital or any capital redemption reserve in any manner authorized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13 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 of Members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105"/>
        <w:gridCol w:w="200"/>
        <w:gridCol w:w="734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05"/>
        <w:gridCol w:w="200"/>
        <w:gridCol w:w="944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its memorandum and articles of association, is not required to open its register of members for inspection;</w:t>
            </w:r>
          </w:p>
        </w:tc>
      </w:tr>
    </w:tbl>
    <w:p>
      <w:pPr>
        <w:pStyle w:val="TextBody"/>
        <w:bidi w:val="0"/>
        <w:spacing w:before="0" w:after="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05"/>
        <w:gridCol w:w="200"/>
        <w:gridCol w:w="852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its memorandum and articles of association, does not have to hold an annual general meeting;</w:t>
            </w:r>
          </w:p>
        </w:tc>
      </w:tr>
    </w:tbl>
    <w:p>
      <w:pPr>
        <w:pStyle w:val="TextBody"/>
        <w:bidi w:val="0"/>
        <w:spacing w:before="0" w:after="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05"/>
        <w:gridCol w:w="200"/>
        <w:gridCol w:w="294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twenty (20) years in the first instance);</w:t>
            </w:r>
          </w:p>
        </w:tc>
      </w:tr>
    </w:tbl>
    <w:p>
      <w:pPr>
        <w:pStyle w:val="TextBody"/>
        <w:bidi w:val="0"/>
        <w:spacing w:before="0" w:after="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05"/>
        <w:gridCol w:w="200"/>
        <w:gridCol w:w="840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105"/>
        <w:gridCol w:w="200"/>
        <w:gridCol w:w="399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200"/>
        <w:gridCol w:w="39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Companies Act differs from laws applicable to United States corporations and their shareholders. Set forth below is a summary of certain significant differences between the provisions of the Companies Act applicable to us and the laws applicable to United States corporations and companies incorporated in the State of Delaware.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14 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in the case of a members scheme, by seventy-five per cent in value of the members or class of members, as the case may be, with whom the arrangement is to be made and in the case of a creditors scheme, by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bidi w:val="0"/>
        <w:spacing w:before="0" w:after="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05"/>
        <w:gridCol w:w="200"/>
        <w:gridCol w:w="58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bidi w:val="0"/>
        <w:spacing w:before="0" w:after="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05"/>
        <w:gridCol w:w="200"/>
        <w:gridCol w:w="962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15 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non-controlling shareholder may be permitted to commence a class action against or derivative actions in the name of our company to challenge actions where:</w:t>
      </w:r>
    </w:p>
    <w:p>
      <w:pPr>
        <w:pStyle w:val="TextBody"/>
        <w:bidi w:val="0"/>
        <w:spacing w:before="0" w:after="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5"/>
        <w:gridCol w:w="200"/>
        <w:gridCol w:w="789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which is ultra vires or illegal and is therefore incapable of ratification by the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if duly authorized by more than a simple majority vote that has not been obtained; and</w:t>
            </w:r>
          </w:p>
        </w:tc>
      </w:tr>
    </w:tbl>
    <w:p>
      <w:pPr>
        <w:pStyle w:val="TextBody"/>
        <w:bidi w:val="0"/>
        <w:spacing w:before="0" w:after="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which constitutes a fraud against the minority where the wrongdoers are themselves in control of the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indemnification of officers (but not including auditors) and directors for actions, charges, losses, damages, costs and expenses incurred in their capacities as such provided that such indemnity shall not extend to any matter in respect of any dishonesty or fraud of such directors or officers (but not including auditors). This standard of conduct is generally the same as permitted under the Delaware General Corporation Law for a Delaware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Articles.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16 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or she owes the following duties to the company:</w:t>
      </w:r>
    </w:p>
    <w:p>
      <w:pPr>
        <w:pStyle w:val="TextBody"/>
        <w:bidi w:val="0"/>
        <w:spacing w:before="0" w:after="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05"/>
        <w:gridCol w:w="200"/>
        <w:gridCol w:w="51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duty to act in good faith in the best interests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duty not to make a personal profit based on his or her position as director (unless the company permits him or her to do so),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duty not to put himself or herself in a position where the interests of the company conflict with his or her personal interest or his or her duty to a third party, and</w:t>
            </w:r>
          </w:p>
        </w:tc>
      </w:tr>
    </w:tbl>
    <w:p>
      <w:pPr>
        <w:pStyle w:val="TextBody"/>
        <w:bidi w:val="0"/>
        <w:spacing w:before="0" w:after="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05"/>
        <w:gridCol w:w="200"/>
        <w:gridCol w:w="64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duty to exercise powers for the purpose for which such powers were intended.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Action by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do not allow shareholders to act by written resolutions.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17 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prohibitions in relation to cumulative voting under the laws of the Cayman Islands but our Articles do not provide for cumulative voting. As a result, our shareholders are not afforded any less protections or rights on this issue than shareholders of a Delaware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Articles, directors may be removed with or without cause, by an ordinary resolution of our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statute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in the best interests of the company and for a proper purpose and not with the effect of constituting a fraud on the minority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Articles, if our share capital is divided into more than one class of shares, we may vary the rights attached to any class with sanction of a resolution passed by a majority of two-thirds of the votes cast at a separate meeting of the holders of the shares of that class.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18 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Islands law, our Articles may only be amended with a special resolution of our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Articles on the rights of non-resident or foreign shareholders to hold or exercise voting rights on our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no provisions in our Articles governing the ownership threshold above which shareholder ownership must be disclosed.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any shareholder of a corporation may for any proper purpose inspect or make copies of the corporation’s stock ledger, list of shareholders and other books and records.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will have no general right under Cayman Islands law to inspect or obtain copies of our list of shareholders or our corporate records. However, we intend to provide our shareholders with annual reports containing audited financial statements. See “Where You Can Find Additional Information About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19 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DEBT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Class A ordinary shares. The following is a summary of some general terms of the debt securities that we may offer by this prospectus and any applicable prospectus supplement. Because it is a summary, it does not contain all of the information that may be important to you. If you want more information, you should read the forms of indentures which we will file in connection with a particular offering and will be incorporated by reference into the registration statement of which this prospectus is a part. If we issue debt securities, we will file any additional final indentures, and any supplemental indentures or officer’s certificates related to the particular series of debt securities issued, with the SEC, and incorporate them by reference as an exhibit to the registration statement of which this prospectus is a part on or before the time we issue a series of debt securities, and you should read those documents for further information about the terms and provisions of such debt securities. See “Where You Can Find More Information About Us” and “Incorporation of Documents by Reference.” This summary is also subject to and qualified by reference to the descriptions of the particular terms of our debt securities to be described in the applicable prospectus supplement. The applicable prospectus supplement may add to, update or change the terms of such debt securities from those described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sold under this prospectus will be direct obligations of our company and, unless otherwise stated in a prospectus supplement, will not be obligations of any of our subsidiaries. Such debt obligations may be secured or unsecured and may be senior or subordinated indebtedness. Our debt securities will be issued under one or more indentures between us and a trustee. Any indenture will be subject to and governed by the Trust Indenture Act of 1939, as amended (the “Trust Indenture Act”). The statements made in this prospectus relating to any future indentures and the debt securities to be issued under the indentures are summaries of certain anticipated provisions of the indentures and are not complete.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p>
      <w:pPr>
        <w:pStyle w:val="TextBody"/>
        <w:bidi w:val="0"/>
        <w:spacing w:before="0" w:after="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05"/>
        <w:gridCol w:w="200"/>
        <w:gridCol w:w="251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securities;</w:t>
            </w:r>
          </w:p>
        </w:tc>
      </w:tr>
    </w:tbl>
    <w:p>
      <w:pPr>
        <w:pStyle w:val="TextBody"/>
        <w:bidi w:val="0"/>
        <w:spacing w:before="0" w:after="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105"/>
        <w:gridCol w:w="200"/>
        <w:gridCol w:w="983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(expressed as a percentage of the aggregate principal amount) at which we will sell the debt securities;</w:t>
            </w:r>
          </w:p>
        </w:tc>
      </w:tr>
    </w:tbl>
    <w:p>
      <w:pPr>
        <w:pStyle w:val="TextBody"/>
        <w:bidi w:val="0"/>
        <w:spacing w:before="0" w:after="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
        <w:gridCol w:w="200"/>
        <w:gridCol w:w="54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the debt securities;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on which we will repay the principal on the debt securities and the right, if any, to extend the maturity of the debt securities;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premium, and interest on the debt securities will be payable, and where the debt securities of the series that are convertible or exchangeable may be surrendered for conversion or exchange;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20 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spacing w:before="0" w:after="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the debt securities will be issued;</w:t>
            </w:r>
          </w:p>
        </w:tc>
      </w:tr>
    </w:tbl>
    <w:p>
      <w:pPr>
        <w:pStyle w:val="TextBody"/>
        <w:bidi w:val="0"/>
        <w:spacing w:before="0" w:after="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105"/>
        <w:gridCol w:w="200"/>
        <w:gridCol w:w="878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issued in the form of certificated debt securities or global debt securities;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principal amount of the debt securities payable upon declaration of acceleration of the maturity date, if other than the principal amount;</w:t>
            </w:r>
          </w:p>
        </w:tc>
      </w:tr>
    </w:tbl>
    <w:p>
      <w:pPr>
        <w:pStyle w:val="TextBody"/>
        <w:bidi w:val="0"/>
        <w:spacing w:before="0" w:after="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05"/>
        <w:gridCol w:w="200"/>
        <w:gridCol w:w="428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of denomination of the debt securities;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currency, currencies or currency units in which payment of principal of, premium and interest on the debt securities will be made;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spacing w:before="0" w:after="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05"/>
        <w:gridCol w:w="200"/>
        <w:gridCol w:w="584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relating to any security provided for the debt securities;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 to or change in the events of default described in the indenture with respect to the debt securities and any change in the acceleration provisions described in the indenture with respect to the debt securities;</w:t>
            </w:r>
          </w:p>
        </w:tc>
      </w:tr>
    </w:tbl>
    <w:p>
      <w:pPr>
        <w:pStyle w:val="TextBody"/>
        <w:bidi w:val="0"/>
        <w:spacing w:before="0" w:after="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05"/>
        <w:gridCol w:w="200"/>
        <w:gridCol w:w="852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 to or change in the covenants described in the indenture with respect to the debt securities;</w:t>
            </w:r>
          </w:p>
        </w:tc>
      </w:tr>
    </w:tbl>
    <w:p>
      <w:pPr>
        <w:pStyle w:val="TextBody"/>
        <w:bidi w:val="0"/>
        <w:spacing w:before="0" w:after="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105"/>
        <w:gridCol w:w="200"/>
        <w:gridCol w:w="84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senior or subordinated and any applicable subordination provisions;</w:t>
            </w:r>
          </w:p>
        </w:tc>
      </w:tr>
    </w:tbl>
    <w:p>
      <w:pPr>
        <w:pStyle w:val="TextBody"/>
        <w:bidi w:val="0"/>
        <w:spacing w:before="0" w:after="0"/>
        <w:ind w:left="0" w:right="0" w:firstLine="324"/>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05"/>
        <w:gridCol w:w="200"/>
        <w:gridCol w:w="686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material income tax considerations applicable to the debt securities;</w:t>
            </w:r>
          </w:p>
        </w:tc>
      </w:tr>
    </w:tbl>
    <w:p>
      <w:pPr>
        <w:pStyle w:val="TextBody"/>
        <w:bidi w:val="0"/>
        <w:spacing w:before="0" w:after="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105"/>
        <w:gridCol w:w="200"/>
        <w:gridCol w:w="972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debt securities, which may modify any provisions of the indenture as it applies to that series;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depositaries, interest rate calculation agents, exchange rate calculation agents or other agents with respect to the debt securities.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21 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Class A ordinary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Class A ordinary shares to be received by the holders of debt securities would be calculated.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unless we otherwise specify in the applicable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22 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DESCRIPTION OF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Class A ordinary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warrants are to be issued under equity warrant agreements to be entered into between us and one or more banks or trust companies, as equity warrant agent, as will be set forth in the applicable prospectus supplement and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pStyle w:val="TextBody"/>
        <w:bidi w:val="0"/>
        <w:spacing w:before="0" w:after="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05"/>
        <w:gridCol w:w="200"/>
        <w:gridCol w:w="258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equity warrants;</w:t>
            </w:r>
          </w:p>
        </w:tc>
      </w:tr>
    </w:tbl>
    <w:p>
      <w:pPr>
        <w:pStyle w:val="TextBody"/>
        <w:bidi w:val="0"/>
        <w:spacing w:before="0" w:after="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05"/>
        <w:gridCol w:w="200"/>
        <w:gridCol w:w="20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offering price;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amount of equity warrants and the aggregate amount of equity securities purchasable upon exercise of the equity warrants;</w:t>
            </w:r>
          </w:p>
        </w:tc>
      </w:tr>
    </w:tbl>
    <w:p>
      <w:pPr>
        <w:pStyle w:val="TextBody"/>
        <w:bidi w:val="0"/>
        <w:spacing w:before="0" w:after="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05"/>
        <w:gridCol w:w="200"/>
        <w:gridCol w:w="813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equity securities with which the equity warrants are issued, and the amount of equity warrants issued with each equity security;</w:t>
            </w:r>
          </w:p>
        </w:tc>
      </w:tr>
    </w:tbl>
    <w:p>
      <w:pPr>
        <w:pStyle w:val="TextBody"/>
        <w:bidi w:val="0"/>
        <w:spacing w:before="0" w:after="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105"/>
        <w:gridCol w:w="200"/>
        <w:gridCol w:w="95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equity warrants and the related equity security will be separately transferable;</w:t>
            </w:r>
          </w:p>
        </w:tc>
      </w:tr>
    </w:tbl>
    <w:p>
      <w:pPr>
        <w:pStyle w:val="TextBody"/>
        <w:bidi w:val="0"/>
        <w:spacing w:before="0" w:after="0"/>
        <w:jc w:val="both"/>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105"/>
        <w:gridCol w:w="200"/>
        <w:gridCol w:w="896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the equity warrants that may be exercised at any one time;</w:t>
            </w:r>
          </w:p>
        </w:tc>
      </w:tr>
    </w:tbl>
    <w:p>
      <w:pPr>
        <w:pStyle w:val="TextBody"/>
        <w:bidi w:val="0"/>
        <w:spacing w:before="0" w:after="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105"/>
        <w:gridCol w:w="200"/>
        <w:gridCol w:w="95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equity warrants will commence and the date on which the right will expire;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United States federal income tax, accounting or other considerations applicable to the equity warrants;</w:t>
            </w:r>
          </w:p>
        </w:tc>
      </w:tr>
    </w:tbl>
    <w:p>
      <w:pPr>
        <w:pStyle w:val="TextBody"/>
        <w:bidi w:val="0"/>
        <w:spacing w:before="0" w:after="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05"/>
        <w:gridCol w:w="200"/>
        <w:gridCol w:w="444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equity warrants, if any;</w:t>
            </w:r>
          </w:p>
        </w:tc>
      </w:tr>
    </w:tbl>
    <w:p>
      <w:pPr>
        <w:pStyle w:val="TextBody"/>
        <w:bidi w:val="0"/>
        <w:spacing w:before="0" w:after="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200"/>
        <w:gridCol w:w="618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or call provisions, if any, applicable to the equity warrants;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equity warrants, including terms, procedures and limitations relating to the exchange and exercise of the equity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warrants are to be issued under debt warrant agreements to be entered into between us, and one or more banks or trust companies, as debt warrant agent, as will be set forth in the applicable prospectus supplement and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debt warrants, the debt warrant agreement relating to the debt warrants and the debt warrant certificates representing debt warrants will be described in the applicable prospectus supplement, including, as applicable:</w:t>
      </w:r>
    </w:p>
    <w:p>
      <w:pPr>
        <w:pStyle w:val="TextBody"/>
        <w:bidi w:val="0"/>
        <w:spacing w:before="0" w:after="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05"/>
        <w:gridCol w:w="200"/>
        <w:gridCol w:w="242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warrants;</w:t>
            </w:r>
          </w:p>
        </w:tc>
      </w:tr>
    </w:tbl>
    <w:p>
      <w:pPr>
        <w:pStyle w:val="TextBody"/>
        <w:bidi w:val="0"/>
        <w:spacing w:before="0" w:after="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05"/>
        <w:gridCol w:w="200"/>
        <w:gridCol w:w="20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offering price;</w:t>
            </w:r>
          </w:p>
        </w:tc>
      </w:tr>
    </w:tbl>
    <w:p>
      <w:pPr>
        <w:pStyle w:val="TextBody"/>
        <w:bidi w:val="0"/>
        <w:spacing w:before="0" w:after="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105"/>
        <w:gridCol w:w="200"/>
        <w:gridCol w:w="948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aggregate principal amount and terms of the debt securities purchasable upon exercise of the debt warrants;</w:t>
            </w:r>
          </w:p>
        </w:tc>
      </w:tr>
    </w:tbl>
    <w:p>
      <w:pPr>
        <w:pStyle w:val="TextBody"/>
        <w:bidi w:val="0"/>
        <w:spacing w:before="0" w:after="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05"/>
        <w:gridCol w:w="200"/>
        <w:gridCol w:w="813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terms of any related debt securities with which the debt warrants are issued and the amount of the debt warrants issued with each debt security;</w:t>
            </w:r>
          </w:p>
        </w:tc>
      </w:tr>
    </w:tbl>
    <w:p>
      <w:pPr>
        <w:pStyle w:val="TextBody"/>
        <w:bidi w:val="0"/>
        <w:spacing w:before="0" w:after="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105"/>
        <w:gridCol w:w="200"/>
        <w:gridCol w:w="92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debt warrants and the related debt securities will be separately transferable;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of debt securities purchasable upon exercise of each debt warrant and the price at which that principal amount of debt securities may be purchased upon exercise of each debt warrant;</w:t>
            </w:r>
          </w:p>
        </w:tc>
      </w:tr>
    </w:tbl>
    <w:p>
      <w:pPr>
        <w:pStyle w:val="TextBody"/>
        <w:bidi w:val="0"/>
        <w:spacing w:before="0" w:after="0"/>
        <w:ind w:left="0" w:right="0" w:firstLine="324"/>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05"/>
        <w:gridCol w:w="200"/>
        <w:gridCol w:w="80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warrants that may be exercised at any one time;</w:t>
            </w:r>
          </w:p>
        </w:tc>
      </w:tr>
    </w:tbl>
    <w:p>
      <w:pPr>
        <w:pStyle w:val="TextBody"/>
        <w:bidi w:val="0"/>
        <w:spacing w:before="0" w:after="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105"/>
        <w:gridCol w:w="200"/>
        <w:gridCol w:w="942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debt warrants will commence and the date on which the right will expire;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United States federal income tax, accounting or other considerations applicable to the debt warrants;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warrants represented by the debt warrant certificates will be issued in registered or bearer form, and, if registered, where they may be transferred and registered;</w:t>
            </w:r>
          </w:p>
        </w:tc>
      </w:tr>
    </w:tbl>
    <w:p>
      <w:pPr>
        <w:pStyle w:val="TextBody"/>
        <w:bidi w:val="0"/>
        <w:spacing w:before="0" w:after="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05"/>
        <w:gridCol w:w="200"/>
        <w:gridCol w:w="428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debt warrants, if any;</w:t>
            </w:r>
          </w:p>
        </w:tc>
      </w:tr>
    </w:tbl>
    <w:p>
      <w:pPr>
        <w:pStyle w:val="TextBody"/>
        <w:bidi w:val="0"/>
        <w:spacing w:before="0" w:after="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5"/>
        <w:gridCol w:w="200"/>
        <w:gridCol w:w="602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or call provisions, if any, applicable to the debt warrants;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debt warrants, including terms, procedures and limitations relating to the exchange and exercise of the debt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24 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DESCRIPTION OF SUBSCRIPTION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Class A ordinary shares or debt securities. These subscription rights may be offered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 or other purchasers may be required to purchase any securities remaining unsubscribed for after such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offer, if any, will, to the extent applicable, include specific terms relating to the offering, including some or all of the following:</w:t>
      </w:r>
    </w:p>
    <w:p>
      <w:pPr>
        <w:pStyle w:val="TextBody"/>
        <w:bidi w:val="0"/>
        <w:spacing w:before="0" w:after="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05"/>
        <w:gridCol w:w="200"/>
        <w:gridCol w:w="35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if any, for the subscription rights;</w:t>
            </w:r>
          </w:p>
        </w:tc>
      </w:tr>
    </w:tbl>
    <w:p>
      <w:pPr>
        <w:pStyle w:val="TextBody"/>
        <w:bidi w:val="0"/>
        <w:spacing w:before="0" w:after="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05"/>
        <w:gridCol w:w="200"/>
        <w:gridCol w:w="9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payable for our Class A ordinary shares or debt securities upon the exercise of the subscription rights;</w:t>
            </w:r>
          </w:p>
        </w:tc>
      </w:tr>
    </w:tbl>
    <w:p>
      <w:pPr>
        <w:pStyle w:val="TextBody"/>
        <w:bidi w:val="0"/>
        <w:spacing w:before="0" w:after="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05"/>
        <w:gridCol w:w="200"/>
        <w:gridCol w:w="5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subscription rights to be issued to each shareholder;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terms of our Class A ordinary shares or debt securities which may be purchased per each subscription right;</w:t>
            </w:r>
          </w:p>
        </w:tc>
      </w:tr>
    </w:tbl>
    <w:p>
      <w:pPr>
        <w:pStyle w:val="TextBody"/>
        <w:bidi w:val="0"/>
        <w:spacing w:before="0" w:after="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subscription rights are transferable;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subscription rights, including the terms, procedures and limitations relating to the exchange and exercise of the subscription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subscription rights shall commence, and the date on which the subscription rights shall expire;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subscription rights may include an over-subscription privilege with respect to unsubscribed securities or an over-allotment privilege to the extent the securities are fully subscribed;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purchase arrangement which may be entered into by the Company in connection with the offering of subscription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25 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DESCRIPTION OF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comprising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such unit may not be held or transferred separately, at any time or at any time before a specified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05"/>
        <w:gridCol w:w="200"/>
        <w:gridCol w:w="4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unit agreement under which the units will be issued;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spacing w:before="0" w:after="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05"/>
        <w:gridCol w:w="200"/>
        <w:gridCol w:w="53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26 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or distribute the securities offered by this prospectus, from time to time, in one or more offerings, as follows:</w:t>
      </w:r>
    </w:p>
    <w:p>
      <w:pPr>
        <w:pStyle w:val="TextBody"/>
        <w:bidi w:val="0"/>
        <w:spacing w:before="0" w:after="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05"/>
        <w:gridCol w:w="200"/>
        <w:gridCol w:w="13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05"/>
        <w:gridCol w:w="200"/>
        <w:gridCol w:w="297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dealers or underwriters for resale;</w:t>
            </w:r>
          </w:p>
        </w:tc>
      </w:tr>
    </w:tbl>
    <w:p>
      <w:pPr>
        <w:pStyle w:val="TextBody"/>
        <w:bidi w:val="0"/>
        <w:spacing w:before="0" w:after="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105"/>
        <w:gridCol w:w="200"/>
        <w:gridCol w:w="189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to purchasers;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“at-the-market offerings,” within the meaning of Rule 415(a)(4) of the Securities Act, to or through a market maker or into an existing trading market, on an exchange or otherwise; or</w:t>
            </w:r>
          </w:p>
        </w:tc>
      </w:tr>
    </w:tbl>
    <w:p>
      <w:pPr>
        <w:pStyle w:val="TextBody"/>
        <w:bidi w:val="0"/>
        <w:spacing w:before="0" w:after="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05"/>
        <w:gridCol w:w="200"/>
        <w:gridCol w:w="453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these methods of sale.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with respect to the securities may state or supplement the terms of the offering of the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distributed by any of these methods may be sold to the public, in one or more transactions, either:</w:t>
      </w:r>
    </w:p>
    <w:p>
      <w:pPr>
        <w:pStyle w:val="TextBody"/>
        <w:bidi w:val="0"/>
        <w:spacing w:before="0" w:after="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05"/>
        <w:gridCol w:w="200"/>
        <w:gridCol w:w="404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fixed price or prices, which may be changed;</w:t>
            </w:r>
          </w:p>
        </w:tc>
      </w:tr>
    </w:tbl>
    <w:p>
      <w:pPr>
        <w:pStyle w:val="TextBody"/>
        <w:bidi w:val="0"/>
        <w:spacing w:before="0" w:after="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05"/>
        <w:gridCol w:w="200"/>
        <w:gridCol w:w="378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market prices prevailing at the time of sale;</w:t>
            </w:r>
          </w:p>
        </w:tc>
      </w:tr>
    </w:tbl>
    <w:p>
      <w:pPr>
        <w:pStyle w:val="TextBody"/>
        <w:bidi w:val="0"/>
        <w:spacing w:before="0" w:after="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05"/>
        <w:gridCol w:w="200"/>
        <w:gridCol w:w="38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prices related to prevailing market prices; or</w:t>
            </w:r>
          </w:p>
        </w:tc>
      </w:tr>
    </w:tbl>
    <w:p>
      <w:pPr>
        <w:pStyle w:val="TextBody"/>
        <w:bidi w:val="0"/>
        <w:spacing w:before="0" w:after="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105"/>
        <w:gridCol w:w="200"/>
        <w:gridCol w:w="17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negotiated prices.</w:t>
            </w:r>
          </w:p>
        </w:tc>
      </w:tr>
    </w:tbl>
    <w:p>
      <w:pPr>
        <w:pStyle w:val="TextBody"/>
        <w:bidi w:val="0"/>
        <w:spacing w:before="0" w:after="0"/>
        <w:ind w:left="0" w:right="0" w:firstLine="32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applicable prospectus supplement will include the names of the dealers and the terms of the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27 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will agree to use its commonly reasonable efforts to solicit purchases for the period of its appointment. We may sell the securities directly to institutional investors or others who may be deemed to be underwriters within the meaning of the Securities Act with respect to any sale of those shares. The terms of any such sales will be described in the applicable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Offered securities may be sold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supplement relating to that offering. Unless otherwise specified in connection with a particular offering of securities, any such agent will be acting on a best efforts basis for the period of its appointment.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one of the means of direct issuance of offered securities, we may utilize the services of an entity through which it may conduct an electronic “dutch auction” or similar offering of the offered securities among potential purchasers who are eligible to participate in the auction or offering of such offered securities, if so described in the applicable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applicable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28 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Transactions and Hedging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of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loan or pledge securities to a financial institution or other third parties that in turn may sell the securities using this prospectus and an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may be entitled, under agreements with us, to indemnification by us relating to material misstatements and omissions in our offering documents. Underwriters, dealers and agents may engage in transactions with, or perform services for, us in their ordinary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securities issued upon a reopening of a previous series, each series of offered securities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securities exchange. No assurance can be given that there will be a market for the offered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29 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prospectus supplement, the validity of the Class A ordinary shares, to the extent governed by Cayman Islands law, will be passed upon by Conyers Dill &amp; Pearman, our legal counsel as to Cayman Islands law. The Company is represented by Loeb &amp; Loeb LLP with respect to United States federal securities and New York State law and is represented by Jingtian &amp; Gongcheng with respect to PRC law.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Ebang International Holdings Inc. incorporated in this prospectus by reference to the Annual Report on Form 20-F for the year ended December 31, 2025 have been so incorporated in reliance on the report of MaloneBailey, LLP, an independent registered public accounting firm, given on the authority of said firm as experts in auditing and accounting.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business address of MaloneBailey, LLP is located at 10370 Richmond Avenue, Suite 600, Houston, TX 77042.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bdr w:val="single" w:sz="12" w:space="1" w:color="000000"/>
        </w:rPr>
      </w:pPr>
      <w:r>
        <w:rPr>
          <w:rFonts w:ascii="Times New Roman;Times;Serif" w:hAnsi="Times New Roman;Times;Serif"/>
          <w:b w:val="false"/>
          <w:i w:val="false"/>
          <w:caps w:val="false"/>
          <w:smallCaps w:val="false"/>
          <w:bdr w:val="single" w:sz="12" w:space="1" w:color="000000"/>
        </w:rPr>
        <w:t>30 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indemnification of officers (but not including auditors) and directors for actions, charges, losses, damages, costs and expenses incurred in their capacities as such provided that such indemnity shall not extend to any matter in respect of any dishonesty or fraud of such directors or officers (but not including auditors). This standard of conduct is generally the same as permitted under the Delaware General Corporation Law for a Delaware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entered into in connection with an offering of securities will also provide for indemnification of us and our officers and directors in certain cases.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on the Index to Exhibits to this Registration Statement, which Index to Exhibits is hereby incorporated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90"/>
        <w:gridCol w:w="380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200"/>
        <w:gridCol w:w="69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both"/>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registration statement is on Form F-3 and the information required to be included in a post-effective amendment by those paragraphs is contained in periodic reports filed with or furnished to the SEC by the registrant pursuant to Section 13 or Section 15(d) of the Securities Exchange Act of 1934, as amended, or Exchange Act, that are incorporated by reference in the registration statement, or is contained in a form of prospectus filed pursuant to Rule 424(b) that is part of the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Exchange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Exchange Act or Rule 3-19 of Regulation S-K if such financial statements and information are contained in periodic reports filed with or furnished to the SEC by the registrant pursuant to Section 13 or Section 15(d) of the Exchange Act that are incorporated by reference in this Form F-3.</w:t>
            </w:r>
          </w:p>
        </w:tc>
      </w:tr>
    </w:tbl>
    <w:p>
      <w:pPr>
        <w:pStyle w:val="TextBody"/>
        <w:bidi w:val="0"/>
        <w:spacing w:before="0" w:after="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245"/>
        <w:gridCol w:w="708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to any purchaser in the initial distribution of the securities: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both"/>
              <w:rPr/>
            </w:pPr>
            <w:r>
              <w:rPr/>
              <w:t> </w:t>
            </w:r>
          </w:p>
        </w:tc>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305"/>
        <w:gridCol w:w="8840"/>
      </w:tblGrid>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registrant hereby undertakes to file an application for the purpose of determining the eligibility of the trustee to act under subsection (a) of section 310 of the Trust Indenture Act of 1939, as amended, or the Act, in accordance with the rules and regulations prescribed by the Commission under section 305(b)(2) of the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5"/>
        <w:gridCol w:w="78"/>
        <w:gridCol w:w="9162"/>
      </w:tblGrid>
      <w:tr>
        <w:trPr/>
        <w:tc>
          <w:tcPr>
            <w:tcW w:w="9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78" w:type="dxa"/>
            <w:tcBorders/>
            <w:tcMar>
              <w:bottom w:w="0" w:type="dxa"/>
            </w:tcMar>
            <w:vAlign w:val="center"/>
          </w:tcPr>
          <w:p>
            <w:pPr>
              <w:pStyle w:val="TableContents"/>
              <w:bidi w:val="0"/>
              <w:spacing w:before="0" w:after="283"/>
              <w:jc w:val="both"/>
              <w:rPr/>
            </w:pPr>
            <w:r>
              <w:rPr/>
              <w:t> </w:t>
            </w:r>
          </w:p>
        </w:tc>
        <w:tc>
          <w:tcPr>
            <w:tcW w:w="916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8" w:type="dxa"/>
            <w:tcBorders/>
            <w:shd w:fill="CCEEFF" w:val="clear"/>
            <w:tcMar>
              <w:bottom w:w="0" w:type="dxa"/>
            </w:tcMar>
            <w:vAlign w:val="center"/>
          </w:tcPr>
          <w:p>
            <w:pPr>
              <w:pStyle w:val="TableContents"/>
              <w:bidi w:val="0"/>
              <w:spacing w:before="0" w:after="283"/>
              <w:jc w:val="both"/>
              <w:rPr/>
            </w:pPr>
            <w:r>
              <w:rPr/>
              <w:t> </w:t>
            </w:r>
          </w:p>
        </w:tc>
        <w:tc>
          <w:tcPr>
            <w:tcW w:w="916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9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78" w:type="dxa"/>
            <w:tcBorders/>
            <w:shd w:fill="FFFFFF" w:val="clear"/>
            <w:tcMar>
              <w:bottom w:w="0" w:type="dxa"/>
            </w:tcMar>
            <w:vAlign w:val="center"/>
          </w:tcPr>
          <w:p>
            <w:pPr>
              <w:pStyle w:val="TableContents"/>
              <w:bidi w:val="0"/>
              <w:spacing w:before="0" w:after="283"/>
              <w:jc w:val="both"/>
              <w:rPr/>
            </w:pPr>
            <w:r>
              <w:rPr/>
              <w:t> </w:t>
            </w:r>
          </w:p>
        </w:tc>
        <w:tc>
          <w:tcPr>
            <w:tcW w:w="9162"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Second Amended and Restated Memorandum of Association and Articles of Association of the Registrant, as currently in effect (incorporated herein by reference to Exhibit 3.1 to the Report of Foreign Private Issuer on Form 6-K, furnished with the Securities and Exchange Commission on December 22, 2021)</w:t>
              </w:r>
            </w:hyperlink>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78" w:type="dxa"/>
            <w:tcBorders/>
            <w:shd w:fill="CCEEFF" w:val="clear"/>
            <w:tcMar>
              <w:bottom w:w="0" w:type="dxa"/>
            </w:tcMar>
            <w:vAlign w:val="center"/>
          </w:tcPr>
          <w:p>
            <w:pPr>
              <w:pStyle w:val="TableContents"/>
              <w:bidi w:val="0"/>
              <w:spacing w:before="0" w:after="283"/>
              <w:jc w:val="both"/>
              <w:rPr/>
            </w:pPr>
            <w:r>
              <w:rPr/>
              <w:t> </w:t>
            </w:r>
          </w:p>
        </w:tc>
        <w:tc>
          <w:tcPr>
            <w:tcW w:w="9162"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Description of Securities (incorporated herein by reference to Exhibit 2.5 to the Annual Report on Form 20-F for the fiscal year ended December 31, 2025, filed with the Securities and Exchange Commission on April 24, 2026)</w:t>
              </w:r>
            </w:hyperlink>
          </w:p>
        </w:tc>
      </w:tr>
      <w:tr>
        <w:trPr/>
        <w:tc>
          <w:tcPr>
            <w:tcW w:w="9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78" w:type="dxa"/>
            <w:tcBorders/>
            <w:shd w:fill="FFFFFF" w:val="clear"/>
            <w:tcMar>
              <w:bottom w:w="0" w:type="dxa"/>
            </w:tcMar>
            <w:vAlign w:val="center"/>
          </w:tcPr>
          <w:p>
            <w:pPr>
              <w:pStyle w:val="TableContents"/>
              <w:bidi w:val="0"/>
              <w:spacing w:before="0" w:after="283"/>
              <w:jc w:val="both"/>
              <w:rPr/>
            </w:pPr>
            <w:r>
              <w:rPr/>
              <w:t> </w:t>
            </w:r>
          </w:p>
        </w:tc>
        <w:tc>
          <w:tcPr>
            <w:tcW w:w="9162"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Indenture</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78" w:type="dxa"/>
            <w:tcBorders/>
            <w:shd w:fill="CCEEFF" w:val="clear"/>
            <w:tcMar>
              <w:bottom w:w="0" w:type="dxa"/>
            </w:tcMar>
            <w:vAlign w:val="center"/>
          </w:tcPr>
          <w:p>
            <w:pPr>
              <w:pStyle w:val="TableContents"/>
              <w:bidi w:val="0"/>
              <w:spacing w:before="0" w:after="283"/>
              <w:jc w:val="both"/>
              <w:rPr/>
            </w:pPr>
            <w:r>
              <w:rPr/>
              <w:t> </w:t>
            </w:r>
          </w:p>
        </w:tc>
        <w:tc>
          <w:tcPr>
            <w:tcW w:w="916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Security</w:t>
            </w:r>
          </w:p>
        </w:tc>
      </w:tr>
      <w:tr>
        <w:trPr/>
        <w:tc>
          <w:tcPr>
            <w:tcW w:w="9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78" w:type="dxa"/>
            <w:tcBorders/>
            <w:shd w:fill="FFFFFF" w:val="clear"/>
            <w:tcMar>
              <w:bottom w:w="0" w:type="dxa"/>
            </w:tcMar>
            <w:vAlign w:val="center"/>
          </w:tcPr>
          <w:p>
            <w:pPr>
              <w:pStyle w:val="TableContents"/>
              <w:bidi w:val="0"/>
              <w:spacing w:before="0" w:after="283"/>
              <w:jc w:val="both"/>
              <w:rPr/>
            </w:pPr>
            <w:r>
              <w:rPr/>
              <w:t> </w:t>
            </w:r>
          </w:p>
        </w:tc>
        <w:tc>
          <w:tcPr>
            <w:tcW w:w="9162"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Warrant</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78" w:type="dxa"/>
            <w:tcBorders/>
            <w:shd w:fill="CCEEFF" w:val="clear"/>
            <w:tcMar>
              <w:bottom w:w="0" w:type="dxa"/>
            </w:tcMar>
            <w:vAlign w:val="center"/>
          </w:tcPr>
          <w:p>
            <w:pPr>
              <w:pStyle w:val="TableContents"/>
              <w:bidi w:val="0"/>
              <w:spacing w:before="0" w:after="283"/>
              <w:jc w:val="both"/>
              <w:rPr/>
            </w:pPr>
            <w:r>
              <w:rPr/>
              <w:t> </w:t>
            </w:r>
          </w:p>
        </w:tc>
        <w:tc>
          <w:tcPr>
            <w:tcW w:w="916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Warrant Agreement</w:t>
            </w:r>
          </w:p>
        </w:tc>
      </w:tr>
      <w:tr>
        <w:trPr/>
        <w:tc>
          <w:tcPr>
            <w:tcW w:w="9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78" w:type="dxa"/>
            <w:tcBorders/>
            <w:shd w:fill="FFFFFF" w:val="clear"/>
            <w:tcMar>
              <w:bottom w:w="0" w:type="dxa"/>
            </w:tcMar>
            <w:vAlign w:val="center"/>
          </w:tcPr>
          <w:p>
            <w:pPr>
              <w:pStyle w:val="TableContents"/>
              <w:bidi w:val="0"/>
              <w:spacing w:before="0" w:after="283"/>
              <w:jc w:val="both"/>
              <w:rPr/>
            </w:pPr>
            <w:r>
              <w:rPr/>
              <w:t> </w:t>
            </w:r>
          </w:p>
        </w:tc>
        <w:tc>
          <w:tcPr>
            <w:tcW w:w="9162"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Subscription Rights Agreement (including form of Subscription Right Certificate)</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78" w:type="dxa"/>
            <w:tcBorders/>
            <w:shd w:fill="CCEEFF" w:val="clear"/>
            <w:tcMar>
              <w:bottom w:w="0" w:type="dxa"/>
            </w:tcMar>
            <w:vAlign w:val="center"/>
          </w:tcPr>
          <w:p>
            <w:pPr>
              <w:pStyle w:val="TableContents"/>
              <w:bidi w:val="0"/>
              <w:spacing w:before="0" w:after="283"/>
              <w:jc w:val="both"/>
              <w:rPr/>
            </w:pPr>
            <w:r>
              <w:rPr/>
              <w:t> </w:t>
            </w:r>
          </w:p>
        </w:tc>
        <w:tc>
          <w:tcPr>
            <w:tcW w:w="916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Agreement (including form of Unit Certificate)</w:t>
            </w:r>
          </w:p>
        </w:tc>
      </w:tr>
      <w:tr>
        <w:trPr/>
        <w:tc>
          <w:tcPr>
            <w:tcW w:w="9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78" w:type="dxa"/>
            <w:tcBorders/>
            <w:shd w:fill="FFFFFF" w:val="clear"/>
            <w:tcMar>
              <w:bottom w:w="0" w:type="dxa"/>
            </w:tcMar>
            <w:vAlign w:val="center"/>
          </w:tcPr>
          <w:p>
            <w:pPr>
              <w:pStyle w:val="TableContents"/>
              <w:bidi w:val="0"/>
              <w:spacing w:before="0" w:after="283"/>
              <w:jc w:val="both"/>
              <w:rPr/>
            </w:pPr>
            <w:r>
              <w:rPr/>
              <w:t> </w:t>
            </w:r>
          </w:p>
        </w:tc>
        <w:tc>
          <w:tcPr>
            <w:tcW w:w="9162" w:type="dxa"/>
            <w:tcBorders/>
            <w:shd w:fill="FFFF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trike w:val="false"/>
                  <w:dstrike w:val="false"/>
                  <w:sz w:val="20"/>
                  <w:u w:val="none"/>
                  <w:effect w:val="none"/>
                </w:rPr>
                <w:t>Opinion of Conyers Dill &amp; Pearman regarding the validity of Class A ordinary shares and certain Cayman Islands legal matters</w:t>
              </w:r>
            </w:hyperlink>
          </w:p>
        </w:tc>
      </w:tr>
      <w:tr>
        <w:trPr/>
        <w:tc>
          <w:tcPr>
            <w:tcW w:w="96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5.2***</w:t>
            </w:r>
            <w:r>
              <w:rPr/>
              <w:t xml:space="preserve"> </w:t>
            </w:r>
          </w:p>
        </w:tc>
        <w:tc>
          <w:tcPr>
            <w:tcW w:w="78" w:type="dxa"/>
            <w:tcBorders/>
            <w:shd w:fill="CCEEFF" w:val="clear"/>
            <w:tcMar>
              <w:bottom w:w="0" w:type="dxa"/>
            </w:tcMar>
            <w:vAlign w:val="center"/>
          </w:tcPr>
          <w:p>
            <w:pPr>
              <w:pStyle w:val="TableContents"/>
              <w:bidi w:val="0"/>
              <w:spacing w:before="0" w:after="283"/>
              <w:jc w:val="both"/>
              <w:rPr/>
            </w:pPr>
            <w:r>
              <w:rPr/>
              <w:t xml:space="preserve">  </w:t>
            </w:r>
          </w:p>
        </w:tc>
        <w:tc>
          <w:tcPr>
            <w:tcW w:w="9162"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Opinion of Loeb &amp; Loeb LLP regarding the enforceability of certain securities being registered</w:t>
              </w:r>
            </w:hyperlink>
            <w:r>
              <w:rPr/>
              <w:t xml:space="preserve"> </w:t>
            </w:r>
          </w:p>
        </w:tc>
      </w:tr>
      <w:tr>
        <w:trPr/>
        <w:tc>
          <w:tcPr>
            <w:tcW w:w="965" w:type="dxa"/>
            <w:tcBorders/>
            <w:shd w:fill="FFFFFF" w:val="clear"/>
            <w:tcMar>
              <w:bottom w:w="0" w:type="dxa"/>
            </w:tcMar>
            <w:vAlign w:val="center"/>
          </w:tcPr>
          <w:p>
            <w:pPr>
              <w:pStyle w:val="TableContents"/>
              <w:bidi w:val="0"/>
              <w:spacing w:before="0" w:after="283"/>
              <w:jc w:val="left"/>
              <w:rPr/>
            </w:pPr>
            <w:r>
              <w:rPr/>
              <w:t xml:space="preserve">23.1** </w:t>
            </w:r>
          </w:p>
        </w:tc>
        <w:tc>
          <w:tcPr>
            <w:tcW w:w="78" w:type="dxa"/>
            <w:tcBorders/>
            <w:shd w:fill="FFFFFF" w:val="clear"/>
            <w:tcMar>
              <w:bottom w:w="0" w:type="dxa"/>
            </w:tcMar>
            <w:vAlign w:val="center"/>
          </w:tcPr>
          <w:p>
            <w:pPr>
              <w:pStyle w:val="TableContents"/>
              <w:bidi w:val="0"/>
              <w:spacing w:before="0" w:after="283"/>
              <w:jc w:val="both"/>
              <w:rPr/>
            </w:pPr>
            <w:r>
              <w:rPr/>
              <w:t xml:space="preserve">  </w:t>
            </w:r>
          </w:p>
        </w:tc>
        <w:tc>
          <w:tcPr>
            <w:tcW w:w="9162" w:type="dxa"/>
            <w:tcBorders/>
            <w:shd w:fill="FFFFFF" w:val="clear"/>
            <w:tcMar>
              <w:bottom w:w="0" w:type="dxa"/>
            </w:tcMar>
            <w:vAlign w:val="center"/>
          </w:tcPr>
          <w:p>
            <w:pPr>
              <w:pStyle w:val="TableContents"/>
              <w:bidi w:val="0"/>
              <w:spacing w:before="0" w:after="283"/>
              <w:jc w:val="left"/>
              <w:rPr/>
            </w:pPr>
            <w:hyperlink w:anchor="ea029285701ex23-1.htm">
              <w:r>
                <w:rPr>
                  <w:rStyle w:val="InternetLink"/>
                </w:rPr>
                <w:t xml:space="preserve">Consent of MaloneBailey, LLP, Independent Registered Public Accounting Firm </w:t>
              </w:r>
            </w:hyperlink>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78" w:type="dxa"/>
            <w:tcBorders/>
            <w:shd w:fill="CCEEFF" w:val="clear"/>
            <w:tcMar>
              <w:bottom w:w="0" w:type="dxa"/>
            </w:tcMar>
            <w:vAlign w:val="center"/>
          </w:tcPr>
          <w:p>
            <w:pPr>
              <w:pStyle w:val="TableContents"/>
              <w:bidi w:val="0"/>
              <w:spacing w:before="0" w:after="283"/>
              <w:jc w:val="both"/>
              <w:rPr/>
            </w:pPr>
            <w:r>
              <w:rPr/>
              <w:t> </w:t>
            </w:r>
          </w:p>
        </w:tc>
        <w:tc>
          <w:tcPr>
            <w:tcW w:w="9162"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trike w:val="false"/>
                  <w:dstrike w:val="false"/>
                  <w:sz w:val="20"/>
                  <w:u w:val="none"/>
                  <w:effect w:val="none"/>
                </w:rPr>
                <w:t>Consent of Conyers Dill &amp; Pearman (included in Exhibit 5.1)</w:t>
              </w:r>
            </w:hyperlink>
          </w:p>
        </w:tc>
      </w:tr>
      <w:tr>
        <w:trPr/>
        <w:tc>
          <w:tcPr>
            <w:tcW w:w="9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23.3*</w:t>
            </w:r>
            <w:r>
              <w:rPr/>
              <w:t xml:space="preserve">** </w:t>
            </w:r>
          </w:p>
        </w:tc>
        <w:tc>
          <w:tcPr>
            <w:tcW w:w="78" w:type="dxa"/>
            <w:tcBorders/>
            <w:shd w:fill="FFFFFF" w:val="clear"/>
            <w:tcMar>
              <w:bottom w:w="0" w:type="dxa"/>
            </w:tcMar>
            <w:vAlign w:val="center"/>
          </w:tcPr>
          <w:p>
            <w:pPr>
              <w:pStyle w:val="TableContents"/>
              <w:bidi w:val="0"/>
              <w:spacing w:before="0" w:after="283"/>
              <w:jc w:val="both"/>
              <w:rPr/>
            </w:pPr>
            <w:r>
              <w:rPr/>
              <w:t xml:space="preserve">  </w:t>
            </w:r>
          </w:p>
        </w:tc>
        <w:tc>
          <w:tcPr>
            <w:tcW w:w="9162"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Consent of Loeb &amp; Loeb LLP (included in Exhibit 5.2)</w:t>
              </w:r>
            </w:hyperlink>
            <w:r>
              <w:rPr/>
              <w:t xml:space="preserve"> </w:t>
            </w:r>
          </w:p>
        </w:tc>
      </w:tr>
      <w:tr>
        <w:trPr/>
        <w:tc>
          <w:tcPr>
            <w:tcW w:w="965" w:type="dxa"/>
            <w:tcBorders/>
            <w:shd w:fill="CCEEFF" w:val="clear"/>
            <w:tcMar>
              <w:bottom w:w="0" w:type="dxa"/>
            </w:tcMar>
            <w:vAlign w:val="center"/>
          </w:tcPr>
          <w:p>
            <w:pPr>
              <w:pStyle w:val="TableContents"/>
              <w:bidi w:val="0"/>
              <w:spacing w:before="0" w:after="283"/>
              <w:jc w:val="left"/>
              <w:rPr/>
            </w:pPr>
            <w:r>
              <w:rPr/>
              <w:t xml:space="preserve">23.4*** </w:t>
            </w:r>
          </w:p>
        </w:tc>
        <w:tc>
          <w:tcPr>
            <w:tcW w:w="78" w:type="dxa"/>
            <w:tcBorders/>
            <w:shd w:fill="CCEEFF" w:val="clear"/>
            <w:tcMar>
              <w:bottom w:w="0" w:type="dxa"/>
            </w:tcMar>
            <w:vAlign w:val="center"/>
          </w:tcPr>
          <w:p>
            <w:pPr>
              <w:pStyle w:val="TableContents"/>
              <w:bidi w:val="0"/>
              <w:spacing w:before="0" w:after="283"/>
              <w:jc w:val="both"/>
              <w:rPr/>
            </w:pPr>
            <w:r>
              <w:rPr/>
              <w:t xml:space="preserve">  </w:t>
            </w:r>
          </w:p>
        </w:tc>
        <w:tc>
          <w:tcPr>
            <w:tcW w:w="9162" w:type="dxa"/>
            <w:tcBorders/>
            <w:shd w:fill="CCEEFF" w:val="clear"/>
            <w:tcMar>
              <w:bottom w:w="0" w:type="dxa"/>
            </w:tcMar>
            <w:vAlign w:val="center"/>
          </w:tcPr>
          <w:p>
            <w:pPr>
              <w:pStyle w:val="TableContents"/>
              <w:bidi w:val="0"/>
              <w:spacing w:before="0" w:after="283"/>
              <w:jc w:val="both"/>
              <w:rPr/>
            </w:pPr>
            <w:hyperlink r:id="rId12">
              <w:r>
                <w:rPr>
                  <w:rStyle w:val="InternetLink"/>
                </w:rPr>
                <w:t>Consent of Jingtian &amp; Gongcheng</w:t>
              </w:r>
            </w:hyperlink>
            <w:r>
              <w:rPr/>
              <w:t xml:space="preserve"> </w:t>
            </w:r>
          </w:p>
        </w:tc>
      </w:tr>
      <w:tr>
        <w:trPr/>
        <w:tc>
          <w:tcPr>
            <w:tcW w:w="9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78" w:type="dxa"/>
            <w:tcBorders/>
            <w:shd w:fill="FFFFFF" w:val="clear"/>
            <w:tcMar>
              <w:bottom w:w="0" w:type="dxa"/>
            </w:tcMar>
            <w:vAlign w:val="center"/>
          </w:tcPr>
          <w:p>
            <w:pPr>
              <w:pStyle w:val="TableContents"/>
              <w:bidi w:val="0"/>
              <w:spacing w:before="0" w:after="283"/>
              <w:jc w:val="both"/>
              <w:rPr/>
            </w:pPr>
            <w:r>
              <w:rPr/>
              <w:t> </w:t>
            </w:r>
          </w:p>
        </w:tc>
        <w:tc>
          <w:tcPr>
            <w:tcW w:w="9162" w:type="dxa"/>
            <w:tcBorders/>
            <w:shd w:fill="FFFF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"https://www.sec.gov/Archives/edgar/data/1799290/000121390026047531/ea0286668-f3_ebanginter.htm" \l "poa_001"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Powers of Attorney (included as part of signature page)</w:t>
            </w:r>
            <w:r>
              <w:rPr>
                <w:rStyle w:val="InternetLink"/>
                <w:sz w:val="20"/>
                <w:rFonts w:ascii="Times New Roman;Times;Serif" w:hAnsi="Times New Roman;Times;Serif"/>
              </w:rPr>
              <w:fldChar w:fldCharType="end"/>
            </w:r>
          </w:p>
        </w:tc>
      </w:tr>
      <w:tr>
        <w:trPr/>
        <w:tc>
          <w:tcPr>
            <w:tcW w:w="965"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25.1*</w:t>
            </w:r>
            <w:r>
              <w:rPr/>
              <w:t>***</w:t>
            </w:r>
          </w:p>
        </w:tc>
        <w:tc>
          <w:tcPr>
            <w:tcW w:w="78" w:type="dxa"/>
            <w:tcBorders/>
            <w:shd w:fill="CCEEFF" w:val="clear"/>
            <w:tcMar>
              <w:bottom w:w="0" w:type="dxa"/>
            </w:tcMar>
            <w:vAlign w:val="center"/>
          </w:tcPr>
          <w:p>
            <w:pPr>
              <w:pStyle w:val="TableContents"/>
              <w:bidi w:val="0"/>
              <w:spacing w:before="0" w:after="283"/>
              <w:jc w:val="both"/>
              <w:rPr/>
            </w:pPr>
            <w:r>
              <w:rPr/>
              <w:t> </w:t>
            </w:r>
          </w:p>
        </w:tc>
        <w:tc>
          <w:tcPr>
            <w:tcW w:w="9162"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T-1 Statement of Eligibility and Qualification under the Trust Indenture Act of 1939, as amended, of the Trustee under the Indenture</w:t>
            </w:r>
          </w:p>
        </w:tc>
      </w:tr>
      <w:tr>
        <w:trPr/>
        <w:tc>
          <w:tcPr>
            <w:tcW w:w="9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78" w:type="dxa"/>
            <w:tcBorders/>
            <w:shd w:fill="FFFFFF" w:val="clear"/>
            <w:tcMar>
              <w:bottom w:w="0" w:type="dxa"/>
            </w:tcMar>
            <w:vAlign w:val="center"/>
          </w:tcPr>
          <w:p>
            <w:pPr>
              <w:pStyle w:val="TableContents"/>
              <w:bidi w:val="0"/>
              <w:spacing w:before="0" w:after="283"/>
              <w:jc w:val="both"/>
              <w:rPr/>
            </w:pPr>
            <w:r>
              <w:rPr/>
              <w:t> </w:t>
            </w:r>
          </w:p>
        </w:tc>
        <w:tc>
          <w:tcPr>
            <w:tcW w:w="9162"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trike w:val="false"/>
                  <w:dstrike w:val="false"/>
                  <w:sz w:val="20"/>
                  <w:u w:val="none"/>
                  <w:effect w:val="none"/>
                </w:rPr>
                <w:t>Filing Fee Table</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applicable, as an exhibit to a post-effective amendment to this Registration Statement or as an exhibit to a report filed under the Exchange Act and incorporated herein by reference, as appropriate.</w:t>
            </w:r>
          </w:p>
        </w:tc>
      </w:tr>
      <w:tr>
        <w:trPr/>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w:t>
            </w:r>
          </w:p>
        </w:tc>
      </w:tr>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as an exhibit to a post-effective amendment to this Registration Statement or as an exhibit to a report filed or furnished pursuant to the Exchange Act of the Registrant and incorporated herein by reference. Form T-1 statements will be filed in accordance with the requirements of Section 305(b)(2) of the Trust Indenture Act of 1939 and Rule 5b-3 thereunder.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poa_001"/>
      <w:bookmarkEnd w:id="20"/>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Irving, State of Texas on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June, 2026. </w:t>
      </w:r>
    </w:p>
    <w:p>
      <w:pPr>
        <w:pStyle w:val="TextBody"/>
        <w:bidi w:val="0"/>
        <w:spacing w:before="0" w:after="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590"/>
        <w:gridCol w:w="5090"/>
      </w:tblGrid>
      <w:tr>
        <w:trPr/>
        <w:tc>
          <w:tcPr>
            <w:tcW w:w="75" w:type="dxa"/>
            <w:tcBorders/>
            <w:vAlign w:val="center"/>
          </w:tcPr>
          <w:p>
            <w:pPr>
              <w:pStyle w:val="TableContents"/>
              <w:bidi w:val="0"/>
              <w:spacing w:before="0" w:after="283"/>
              <w:jc w:val="left"/>
              <w:rPr/>
            </w:pPr>
            <w:r>
              <w:rPr/>
              <w:t> </w:t>
            </w:r>
          </w:p>
        </w:tc>
        <w:tc>
          <w:tcPr>
            <w:tcW w:w="56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Ebang International Holdings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Dong Hu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5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Hu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Chief Executive Officer and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 below.</w:t>
      </w:r>
    </w:p>
    <w:p>
      <w:pPr>
        <w:pStyle w:val="TextBody"/>
        <w:bidi w:val="0"/>
        <w:spacing w:before="0" w:after="0"/>
        <w:jc w:val="left"/>
        <w:rPr>
          <w:caps w:val="false"/>
          <w:smallCaps w:val="false"/>
        </w:rPr>
      </w:pPr>
      <w:r>
        <w:rPr>
          <w:caps w:val="false"/>
          <w:smallCaps w:val="false"/>
        </w:rPr>
        <w:t> </w:t>
      </w:r>
    </w:p>
    <w:tbl>
      <w:tblPr>
        <w:tblW w:w="10065" w:type="dxa"/>
        <w:jc w:val="left"/>
        <w:tblInd w:w="0" w:type="dxa"/>
        <w:tblLayout w:type="fixed"/>
        <w:tblCellMar>
          <w:top w:w="0" w:type="dxa"/>
          <w:left w:w="0" w:type="dxa"/>
          <w:bottom w:w="28" w:type="dxa"/>
          <w:right w:w="0" w:type="dxa"/>
        </w:tblCellMar>
      </w:tblPr>
      <w:tblGrid>
        <w:gridCol w:w="1355"/>
        <w:gridCol w:w="120"/>
        <w:gridCol w:w="7160"/>
        <w:gridCol w:w="120"/>
        <w:gridCol w:w="1310"/>
      </w:tblGrid>
      <w:tr>
        <w:trPr/>
        <w:tc>
          <w:tcPr>
            <w:tcW w:w="135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Signature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Title</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Date</w:t>
            </w:r>
            <w:r>
              <w:rPr/>
              <w:t xml:space="preserve"> </w:t>
            </w:r>
          </w:p>
        </w:tc>
      </w:tr>
      <w:tr>
        <w:trPr/>
        <w:tc>
          <w:tcPr>
            <w:tcW w:w="135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center"/>
              <w:rPr/>
            </w:pPr>
            <w:r>
              <w:rPr/>
              <w:t xml:space="preserve">  </w:t>
            </w:r>
          </w:p>
        </w:tc>
      </w:tr>
      <w:tr>
        <w:trPr/>
        <w:tc>
          <w:tcPr>
            <w:tcW w:w="135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i/>
                <w:sz w:val="20"/>
              </w:rPr>
              <w:t>/s/ Dong Hu</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rFonts w:ascii="Times New Roman;Times;Serif" w:hAnsi="Times New Roman;Times;Serif"/>
                <w:sz w:val="20"/>
              </w:rPr>
              <w:t>Chairman, Chief Executive Officer and Chief Financial Officer</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center"/>
              <w:rPr/>
            </w:pPr>
            <w:r>
              <w:rPr/>
              <w:t xml:space="preserve">June 1, 2026 </w:t>
            </w:r>
          </w:p>
        </w:tc>
      </w:tr>
      <w:tr>
        <w:trPr/>
        <w:tc>
          <w:tcPr>
            <w:tcW w:w="1355" w:type="dxa"/>
            <w:tcBorders/>
            <w:tcMar>
              <w:bottom w:w="0" w:type="dxa"/>
            </w:tcMar>
            <w:vAlign w:val="center"/>
          </w:tcPr>
          <w:p>
            <w:pPr>
              <w:pStyle w:val="TableContents"/>
              <w:bidi w:val="0"/>
              <w:spacing w:before="0" w:after="283"/>
              <w:jc w:val="center"/>
              <w:rPr/>
            </w:pPr>
            <w:r>
              <w:rPr>
                <w:rFonts w:ascii="Times New Roman;Times;Serif" w:hAnsi="Times New Roman;Times;Serif"/>
                <w:sz w:val="20"/>
              </w:rPr>
              <w:t>Dong Hu</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rFonts w:ascii="Times New Roman;Times;Serif" w:hAnsi="Times New Roman;Times;Serif"/>
                <w:sz w:val="20"/>
              </w:rPr>
              <w:t>(principal executive officer, principal financial officer and principal accounting officer)</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r>
        <w:trPr/>
        <w:tc>
          <w:tcPr>
            <w:tcW w:w="135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r>
        <w:trPr/>
        <w:tc>
          <w:tcPr>
            <w:tcW w:w="135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i/>
                <w:sz w:val="20"/>
              </w:rPr>
              <w:t>/s/ *</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center"/>
              <w:rPr/>
            </w:pPr>
            <w:r>
              <w:rPr/>
              <w:t xml:space="preserve">June 1, 2026 </w:t>
            </w:r>
          </w:p>
        </w:tc>
      </w:tr>
      <w:tr>
        <w:trPr/>
        <w:tc>
          <w:tcPr>
            <w:tcW w:w="1355" w:type="dxa"/>
            <w:tcBorders/>
            <w:tcMar>
              <w:bottom w:w="0" w:type="dxa"/>
            </w:tcMar>
            <w:vAlign w:val="center"/>
          </w:tcPr>
          <w:p>
            <w:pPr>
              <w:pStyle w:val="TableContents"/>
              <w:bidi w:val="0"/>
              <w:spacing w:before="0" w:after="283"/>
              <w:jc w:val="center"/>
              <w:rPr/>
            </w:pPr>
            <w:r>
              <w:rPr>
                <w:rFonts w:ascii="Times New Roman;Times;Serif" w:hAnsi="Times New Roman;Times;Serif"/>
                <w:sz w:val="20"/>
              </w:rPr>
              <w:t>Chunjuan Peng</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r>
        <w:trPr/>
        <w:tc>
          <w:tcPr>
            <w:tcW w:w="135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r>
        <w:trPr/>
        <w:tc>
          <w:tcPr>
            <w:tcW w:w="135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i/>
                <w:sz w:val="20"/>
              </w:rPr>
              <w:t>/s/ *</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center"/>
              <w:rPr/>
            </w:pPr>
            <w:r>
              <w:rPr/>
              <w:t xml:space="preserve">June 1, 2026 </w:t>
            </w:r>
          </w:p>
        </w:tc>
      </w:tr>
      <w:tr>
        <w:trPr/>
        <w:tc>
          <w:tcPr>
            <w:tcW w:w="1355" w:type="dxa"/>
            <w:tcBorders/>
            <w:tcMar>
              <w:bottom w:w="0" w:type="dxa"/>
            </w:tcMar>
            <w:vAlign w:val="center"/>
          </w:tcPr>
          <w:p>
            <w:pPr>
              <w:pStyle w:val="TableContents"/>
              <w:bidi w:val="0"/>
              <w:spacing w:before="0" w:after="283"/>
              <w:jc w:val="center"/>
              <w:rPr/>
            </w:pPr>
            <w:r>
              <w:rPr>
                <w:rFonts w:ascii="Times New Roman;Times;Serif" w:hAnsi="Times New Roman;Times;Serif"/>
                <w:sz w:val="20"/>
              </w:rPr>
              <w:t>Yanqing Gao</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r>
        <w:trPr/>
        <w:tc>
          <w:tcPr>
            <w:tcW w:w="135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r>
        <w:trPr/>
        <w:tc>
          <w:tcPr>
            <w:tcW w:w="135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i/>
                <w:sz w:val="20"/>
              </w:rPr>
              <w:t>/s/ *</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center"/>
              <w:rPr/>
            </w:pPr>
            <w:r>
              <w:rPr/>
              <w:t xml:space="preserve">June 1, 2026 </w:t>
            </w:r>
          </w:p>
        </w:tc>
      </w:tr>
      <w:tr>
        <w:trPr/>
        <w:tc>
          <w:tcPr>
            <w:tcW w:w="1355" w:type="dxa"/>
            <w:tcBorders/>
            <w:tcMar>
              <w:bottom w:w="0" w:type="dxa"/>
            </w:tcMar>
            <w:vAlign w:val="center"/>
          </w:tcPr>
          <w:p>
            <w:pPr>
              <w:pStyle w:val="TableContents"/>
              <w:bidi w:val="0"/>
              <w:spacing w:before="0" w:after="283"/>
              <w:jc w:val="center"/>
              <w:rPr/>
            </w:pPr>
            <w:r>
              <w:rPr>
                <w:rFonts w:ascii="Times New Roman;Times;Serif" w:hAnsi="Times New Roman;Times;Serif"/>
                <w:sz w:val="20"/>
              </w:rPr>
              <w:t>Tingjie Lyu</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r>
        <w:trPr/>
        <w:tc>
          <w:tcPr>
            <w:tcW w:w="135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r>
        <w:trPr/>
        <w:tc>
          <w:tcPr>
            <w:tcW w:w="135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i/>
                <w:sz w:val="20"/>
              </w:rPr>
              <w:t>/s/ *</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center"/>
              <w:rPr/>
            </w:pPr>
            <w:r>
              <w:rPr/>
              <w:t xml:space="preserve">June 1, 2026 </w:t>
            </w:r>
          </w:p>
        </w:tc>
      </w:tr>
      <w:tr>
        <w:trPr/>
        <w:tc>
          <w:tcPr>
            <w:tcW w:w="1355" w:type="dxa"/>
            <w:tcBorders/>
            <w:tcMar>
              <w:bottom w:w="0" w:type="dxa"/>
            </w:tcMar>
            <w:vAlign w:val="center"/>
          </w:tcPr>
          <w:p>
            <w:pPr>
              <w:pStyle w:val="TableContents"/>
              <w:bidi w:val="0"/>
              <w:spacing w:before="0" w:after="283"/>
              <w:jc w:val="center"/>
              <w:rPr/>
            </w:pPr>
            <w:r>
              <w:rPr>
                <w:rFonts w:ascii="Times New Roman;Times;Serif" w:hAnsi="Times New Roman;Times;Serif"/>
                <w:sz w:val="20"/>
              </w:rPr>
              <w:t>Mingming Su</w:t>
            </w: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716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center"/>
              <w:rPr/>
            </w:pPr>
            <w:r>
              <w:rPr/>
              <w:t xml:space="preserve">  </w:t>
            </w:r>
          </w:p>
        </w:tc>
        <w:tc>
          <w:tcPr>
            <w:tcW w:w="1310" w:type="dxa"/>
            <w:tcBorders/>
            <w:tcMar>
              <w:bottom w:w="0" w:type="dxa"/>
            </w:tcMar>
            <w:vAlign w:val="center"/>
          </w:tcPr>
          <w:p>
            <w:pPr>
              <w:pStyle w:val="TableContents"/>
              <w:bidi w:val="0"/>
              <w:spacing w:before="0" w:after="283"/>
              <w:jc w:val="left"/>
              <w:rPr/>
            </w:pPr>
            <w:r>
              <w:rPr/>
              <w:t xml:space="preserve">  </w:t>
            </w:r>
          </w:p>
        </w:tc>
      </w:tr>
    </w:tbl>
    <w:p>
      <w:pPr>
        <w:pStyle w:val="TextBody"/>
        <w:bidi w:val="0"/>
        <w:spacing w:before="0" w:after="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530"/>
        <w:gridCol w:w="2315"/>
        <w:gridCol w:w="75"/>
      </w:tblGrid>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By: </w:t>
            </w:r>
          </w:p>
        </w:tc>
        <w:tc>
          <w:tcPr>
            <w:tcW w:w="23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Dong Hu</w:t>
            </w:r>
          </w:p>
        </w:tc>
        <w:tc>
          <w:tcPr>
            <w:tcW w:w="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 Hu, as 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1" w:name="ea029285701ex23-1.htm"/>
      <w:bookmarkStart w:id="22" w:name="ksea029285701ex231"/>
      <w:bookmarkEnd w:id="21"/>
      <w:bookmarkEnd w:id="22"/>
      <w:r>
        <w:rPr>
          <w:b/>
        </w:rPr>
        <w:t>Exhibit 23.1</w:t>
      </w:r>
      <w:r>
        <w:br w:type="page"/>
      </w:r>
    </w:p>
    <w:p>
      <w:pPr>
        <w:pStyle w:val="TextBody"/>
        <w:bidi w:val="0"/>
        <w:spacing w:before="0" w:after="283"/>
        <w:jc w:val="left"/>
        <w:rPr/>
      </w:pPr>
      <w:r>
        <w:rPr/>
        <w:t> </w:t>
      </w:r>
    </w:p>
    <w:p>
      <w:pPr>
        <w:pStyle w:val="TextBody"/>
        <w:bidi w:val="0"/>
        <w:jc w:val="center"/>
        <w:rPr>
          <w:b/>
        </w:rPr>
      </w:pPr>
      <w:r>
        <w:rPr>
          <w:b/>
        </w:rPr>
        <w:t>CONSENT OF INDEPENDENT REGISTERED PUBLIC ACCOUNTING FIRM</w:t>
      </w:r>
    </w:p>
    <w:p>
      <w:pPr>
        <w:pStyle w:val="TextBody"/>
        <w:bidi w:val="0"/>
        <w:spacing w:before="0" w:after="283"/>
        <w:jc w:val="left"/>
        <w:rPr/>
      </w:pPr>
      <w:r>
        <w:rPr/>
        <w:t> </w:t>
      </w:r>
    </w:p>
    <w:p>
      <w:pPr>
        <w:pStyle w:val="TextBody"/>
        <w:bidi w:val="0"/>
        <w:jc w:val="both"/>
        <w:rPr/>
      </w:pPr>
      <w:r>
        <w:rPr/>
        <w:t>We consent to the inclusion in this Registration Statement on Form F-3/A of our report dated April 24, 2026 with respect to the audited consolidated financial statements of Ebang International Holdings Inc. and its subsidiaries (the “Company”), appearing in the Annual Report on Form 20-F of the Company for the year ended December 31, 2025.</w:t>
      </w:r>
    </w:p>
    <w:p>
      <w:pPr>
        <w:pStyle w:val="TextBody"/>
        <w:bidi w:val="0"/>
        <w:spacing w:before="0" w:after="283"/>
        <w:jc w:val="left"/>
        <w:rPr/>
      </w:pPr>
      <w:r>
        <w:rPr/>
        <w:t> </w:t>
      </w:r>
    </w:p>
    <w:p>
      <w:pPr>
        <w:pStyle w:val="TextBody"/>
        <w:bidi w:val="0"/>
        <w:jc w:val="both"/>
        <w:rPr/>
      </w:pPr>
      <w:r>
        <w:rPr/>
        <w:t>We also consent to the references to us under the heading “Experts” in such Registration Statement.</w:t>
      </w:r>
    </w:p>
    <w:p>
      <w:pPr>
        <w:pStyle w:val="TextBody"/>
        <w:bidi w:val="0"/>
        <w:spacing w:before="0" w:after="283"/>
        <w:jc w:val="left"/>
        <w:rPr/>
      </w:pPr>
      <w:r>
        <w:rPr/>
        <w:t> </w:t>
      </w:r>
    </w:p>
    <w:p>
      <w:pPr>
        <w:pStyle w:val="TextBody"/>
        <w:bidi w:val="0"/>
        <w:jc w:val="left"/>
        <w:rPr>
          <w:i/>
        </w:rPr>
      </w:pPr>
      <w:r>
        <w:rPr>
          <w:i/>
        </w:rPr>
        <w:t>/s/ MaloneBailey, LLP</w:t>
      </w:r>
    </w:p>
    <w:p>
      <w:pPr>
        <w:pStyle w:val="TextBody"/>
        <w:bidi w:val="0"/>
        <w:spacing w:before="0" w:after="283"/>
        <w:jc w:val="left"/>
        <w:rPr/>
      </w:pPr>
      <w:r>
        <w:rPr/>
        <w:t>www.malonebailey.com</w:t>
      </w:r>
    </w:p>
    <w:p>
      <w:pPr>
        <w:pStyle w:val="TextBody"/>
        <w:bidi w:val="0"/>
        <w:spacing w:before="0" w:after="283"/>
        <w:jc w:val="left"/>
        <w:rPr/>
      </w:pPr>
      <w:r>
        <w:rPr/>
        <w:t>Houston, Texas</w:t>
      </w:r>
    </w:p>
    <w:p>
      <w:pPr>
        <w:pStyle w:val="TextBody"/>
        <w:bidi w:val="0"/>
        <w:spacing w:before="0" w:after="283"/>
        <w:jc w:val="left"/>
        <w:rPr/>
      </w:pPr>
      <w:r>
        <w:rPr/>
        <w:t>June 1,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799290/000121390026047509/ea0286394-20f_ebang.htm" TargetMode="External"/><Relationship Id="rId4" Type="http://schemas.openxmlformats.org/officeDocument/2006/relationships/hyperlink" Target="https://www.sec.gov/Archives/edgar/data/1799290/000121390020015159/ea122998-8a12b_ebang.htm" TargetMode="External"/><Relationship Id="rId5" Type="http://schemas.openxmlformats.org/officeDocument/2006/relationships/hyperlink" Target="http://www.sec.gov/Archives/edgar/data/1799290/000121390026047509/ea028639401ex2-5.htm" TargetMode="External"/><Relationship Id="rId6" Type="http://schemas.openxmlformats.org/officeDocument/2006/relationships/hyperlink" Target="https://www.sec.gov/Archives/edgar/data/1799290/000121390021066799/ea152801ex3-1_ebang.htm" TargetMode="External"/><Relationship Id="rId7" Type="http://schemas.openxmlformats.org/officeDocument/2006/relationships/hyperlink" Target="http://www.sec.gov/Archives/edgar/data/1799290/000121390026047509/ea028639401ex2-5.htm" TargetMode="External"/><Relationship Id="rId8" Type="http://schemas.openxmlformats.org/officeDocument/2006/relationships/hyperlink" Target="http://www.sec.gov/Archives/edgar/data/1799290/000121390026047531/ea028666801ex5-1.htm" TargetMode="External"/><Relationship Id="rId9" Type="http://schemas.openxmlformats.org/officeDocument/2006/relationships/hyperlink" Target="https://www.sec.gov/Archives/edgar/data/1799290/000121390026057716/ea029016801ex5-2.htm" TargetMode="External"/><Relationship Id="rId10" Type="http://schemas.openxmlformats.org/officeDocument/2006/relationships/hyperlink" Target="http://www.sec.gov/Archives/edgar/data/1799290/000121390026047531/ea028666801ex5-1.htm" TargetMode="External"/><Relationship Id="rId11" Type="http://schemas.openxmlformats.org/officeDocument/2006/relationships/hyperlink" Target="https://www.sec.gov/Archives/edgar/data/1799290/000121390026057716/ea029016801ex5-2.htm" TargetMode="External"/><Relationship Id="rId12" Type="http://schemas.openxmlformats.org/officeDocument/2006/relationships/hyperlink" Target="https://www.sec.gov/Archives/edgar/data/1799290/000121390026057716/ea029016801ex23-4.htm" TargetMode="External"/><Relationship Id="rId13" Type="http://schemas.openxmlformats.org/officeDocument/2006/relationships/hyperlink" Target="https://www.sec.gov/Archives/edgar/data/1799290/000121390026047531/ea028666801ex-fee.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23867</Words>
  <Characters>125865</Characters>
  <CharactersWithSpaces>149904</CharactersWithSpaces>
  <Paragraphs>1657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