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May 15,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46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78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jc w:val="center"/>
              <w:ind w:right="16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460" w:type="dxa"/>
            <w:vAlign w:val="bottom"/>
            <w:gridSpan w:val="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7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746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w w:val="99"/>
              </w:rPr>
              <w:t>600 East John Carpenter Freeway, Suite 110</w:t>
            </w:r>
          </w:p>
        </w:tc>
        <w:tc>
          <w:tcPr>
            <w:tcW w:w="3780" w:type="dxa"/>
            <w:vAlign w:val="bottom"/>
          </w:tcPr>
          <w:p>
            <w:pPr>
              <w:spacing w:after="0"/>
              <w:rPr>
                <w:sz w:val="24"/>
                <w:szCs w:val="24"/>
                <w:color w:val="auto"/>
              </w:rPr>
            </w:pPr>
          </w:p>
        </w:tc>
      </w:tr>
      <w:tr>
        <w:trPr>
          <w:trHeight w:val="216"/>
        </w:trPr>
        <w:tc>
          <w:tcPr>
            <w:tcW w:w="7460" w:type="dxa"/>
            <w:vAlign w:val="bottom"/>
            <w:gridSpan w:val="3"/>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Irving, Texas 75062</w:t>
            </w:r>
          </w:p>
        </w:tc>
        <w:tc>
          <w:tcPr>
            <w:tcW w:w="3780" w:type="dxa"/>
            <w:vAlign w:val="bottom"/>
          </w:tcPr>
          <w:p>
            <w:pPr>
              <w:spacing w:after="0"/>
              <w:rPr>
                <w:sz w:val="18"/>
                <w:szCs w:val="18"/>
                <w:color w:val="auto"/>
              </w:rPr>
            </w:pPr>
          </w:p>
        </w:tc>
      </w:tr>
      <w:tr>
        <w:trPr>
          <w:trHeight w:val="238"/>
        </w:trPr>
        <w:tc>
          <w:tcPr>
            <w:tcW w:w="746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w w:val="99"/>
              </w:rPr>
              <w:t>(972) 689-1452</w:t>
            </w:r>
          </w:p>
        </w:tc>
        <w:tc>
          <w:tcPr>
            <w:tcW w:w="378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Dong Hu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East John Carpenter Freeway, Suite 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Irving, Texas 75062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689-1452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Giovanni Caruso,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Hermione M. Krumm, Esq.</w:t>
      </w: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216"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r>
        <w:rPr>
          <w:rFonts w:ascii="MS PGothic" w:cs="MS PGothic" w:eastAsia="MS PGothic" w:hAnsi="MS PGothic"/>
          <w:sz w:val="18"/>
          <w:szCs w:val="18"/>
          <w:color w:val="auto"/>
        </w:rPr>
        <w:t>☐</w:t>
      </w:r>
    </w:p>
    <w:p>
      <w:pPr>
        <w:spacing w:after="0" w:line="171" w:lineRule="exact"/>
        <w:rPr>
          <w:sz w:val="20"/>
          <w:szCs w:val="20"/>
          <w:color w:val="auto"/>
        </w:rPr>
      </w:pPr>
    </w:p>
    <w:p>
      <w:pPr>
        <w:ind w:firstLine="8"/>
        <w:spacing w:after="0" w:line="282" w:lineRule="auto"/>
        <w:tabs>
          <w:tab w:leader="none" w:pos="1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F-3 (this “Registration Statement”) is being filed by Ebang International Holdings Inc. (the “Company”) pursuant to Rule 415(a)(6) under the Securities Act of 1933, as amended (the “Securities Act”), to replace the Company’s registration statement on Form F-3 (File No. 333-271512), filed with the Securities and Exchange Commission on April 28, 2023 (the “Expiring Registration Statement”), which is due to expire on June 14, 2026.</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Rule 415(a)(5)(ii) under the Securities Act, by filing this Registration Statement, the Company may issue and sell securities covered by the Expiring Registration Statement until the earlier of the effective date of this Registration Statement or 180 days after June 14, 2026. Pursuant to Rule 415(a)(6) under the Securities Act, we are registering on this Registration Statement an aggregate of $75,000,000 of unsold securities (the “Unsold Securities”) previously registered under the Expiring Registration Statement to be offered, issued and sold by the Company. In accordance with Rule 415(a)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the effectiveness of this Registration Statement will be deemed to terminate the Expiring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71" w:lineRule="exact"/>
        <w:rPr>
          <w:sz w:val="20"/>
          <w:szCs w:val="20"/>
          <w:color w:val="auto"/>
        </w:rPr>
      </w:pPr>
    </w:p>
    <w:p>
      <w:pPr>
        <w:spacing w:after="0"/>
        <w:tabs>
          <w:tab w:leader="none" w:pos="4400" w:val="left"/>
          <w:tab w:leader="none" w:pos="852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7"/>
          <w:szCs w:val="17"/>
          <w:b w:val="1"/>
          <w:bCs w:val="1"/>
          <w:color w:val="FF0000"/>
        </w:rPr>
        <w:t>DATED May 15,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156845</wp:posOffset>
            </wp:positionV>
            <wp:extent cx="13030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our Class A ordinary shares, HK$0.03 par value per share (“Class A ordinary shares”), debt securities, warrants, subscription rights and units of Ebang International Holdings Inc. in any combination from time to time in one or more offerings, at prices and on terms described in one or more supplements to this prospectus. The securities offered by this prospectus will have an aggregate offering price of up to US$75,000,000. Such debt securities, warrants, subscription rights and units may be convertible into or exercisable or exchangeable for our Class A ordinary shares or our other securities. This prospectus provides you with a general description of the securities that we may offer.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we sell our securities hereunder, we will provide a supplement to this prospectus that contains specific information about the offering and the terms of such securities. The supplement may also add, update or change information contained in this prospectus. You should carefully read this prospectus and any prospectus supplement before you invest in any of our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our securities independently or together with any other securities registered hereunder through one or more underwriters, dealers and agents, or directly to purchasers, or through a combination of these methods, on a continuous or delayed basis. See “Plan of Distribution.” If any underwriters, dealers or agents are involved in the sale of any of such securities, their names, and any applicable purchase price, fee, commission or discount arrangements between or among them, will be set forth, or will be calculable from the information set forth, in the applicable prospectus supplement.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Class A ordinary shares are listed on the Nasdaq Global Select Market (“Nasdaq”) under the symbol “EBON.” On May 14, 2026, the last reported sale price of our Class A ordinary shares on Nasdaq was $2.02 per share. The aggregate market value of our outstanding Class A ordinary shares held by non-affiliates is approximately $13,731,610.81, based on 4,989,746.22 Class A ordinary shares issued and outstanding on May 14, 2026 of which 4,957,260.22 Class A ordinary shares are held by non-affiliates, and a per share price of $2.77 based on the closing sale price of our Class A ordinary shares on April 21, 2026 which was the highest closing sale price of our Class A ordinary shares on Nasdaq, within sixty (60) days of the filing date of this Registration Statement. We have not sold any securities pursuant to General Instruction I.B.5 of Form F-3 during the prior twelve (12) calendar month period that ends on and includes the date of this prospectus. Pursuant to General Instruction I.B.5 of Form F-3, in no event will we sell securities registered on this Registration Statement in a public primary offering with a value exceeding more than one-third of our public float in any 12-month period so long as our public float remains below $75.0 million. The applicable prospectus supplement will contain information, where applicable, as to the listing, if any, on Nasdaq or any other securities market or other securities exchange of the securities covered by such prospectus supplement.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on this prospectus cover pages to “we,” “us”, “our” and “Ebang” refer to Ebang International Holdings Inc.</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“Risk Factors” section contained in our Annual Report on Form 20-F for the fiscal year ended December 31, 2025, filed with the U.S. Securities and Exchange Commission (the “SEC”) on April 24, 2026 and incorporated by reference herein (the “Annual Report”), the applicable prospectus supplement, any related free writing prospectus and the documents we incorporate by reference in this prospectus to read about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We are a Cayman Islands holding company and conduct all of our operations through our operating subsidiaries. Investors in our shares are not purchasing equity securities of our operating subsidiaries but instead are purchasing equity securities of a Cayman Islands holding company. Ebang does not conduct its business through the variable interest entity (“VIE”) structure. As we have PRC operating subsidiaries, we face various legal and operational risks and uncertainties related to doing business in China. Since the PRC legal system continues to evolve,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 we also face risks associated with regulatory approvals on offerings conducted overseas and foreign investment in China-based issuers, anti-monopoly regulatory actions, and oversight on cybersecurity and data privacy failure to comply with such laws and regulations may negatively impact our ability to conduct certain businesses, access foreign investments, or list on a foreign stock exchange. Chinese regulatory authorities may promulgate stricter laws and regulations governing offshore issuance activities and enhance supervision over outbound investments by domestic issuers. Failure to comply with such requirements may materially significantly limit or completely hinder our ability to offer or continue to offer securities to investors and cause the value of such securities to significantly decline or be worthless.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In addition, according to Circular on the Arrangements for the Filing-based Administration of Overseas Securities Offering and Listing by Domestic Companies issued by the CSRC on February 17, 2023, from the implementation date of the Overseas Listing Trial Measures, domestic enterprises subject to the scope of filing that have offered shares or been listed overseas, or have met the following conditions shall be deemed as “existing enterprises”, which are not required to go through the filing immediately. Jingtian &amp; Gongcheng, our counsel as to PRC laws, has advised that based on the aforementioned criteria, in connection with our previous issuance of securities to foreign investors, under current PRC laws, regulations and regulatory rules, as of the date of this prospectus, we and our PRC subsidiaries, (i) are not required to obtain permissions from the China Securities Regulatory Commission (the “CSRC”), (ii) are not required to go through cybersecurity review by the Cyberspace Administration of China (the “CAC”), and (iii) have not been asked to obtain or were denied such permissions by any PRC authority. However, the PRC government has recently indicated an intent to exert more oversight and control over offerings that are conducted overseas and/or foreign investment in China-based issuers. For more detailed information, see the section of the risk factors included in our Annual Report incorporated by reference herein, entitled “Item 3.D. Key Information—Risk Factors—Risks Relating to Conducting Business in China—We may be required to obtain approval or subject to filings or other requirements from the CSRC or other PRC regulatory authorities in connection with our offshore offerings under PRC law, and we cannot predict whether we will be able to or how long it will take to complete such filings.”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Furthermore, as more stringent criteria have been imposed by the SEC and the Public Company Accounting Oversight Board (the “PCAOB”) recently, our securities may be prohibited from trading on a national exchange or over-the-counter under the Holding Foreign Companies Accountable Act (the “HFCAA”) and related regulations, if the PCAOB is unable to inspect our auditors for two consecutive years beginning in 2022. As a result, an exchange may determine to delist our securities. The PCAOB issued a Determination Report on December 16, 2021 which found that the PCAOB was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PCAOB’s report identified the specific registered public accounting firms which were subject to these determinations. On December 29, 2022, legislation entitled “Consolidated Appropriations Act, 2023” (the “Consolidated Appropriations Act”), was signed into law, which reduces the number of consecutive non- inspection years required for triggering the prohibitions under the Holding Foreign Companies Accountable Act from three years to two.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Our financial statements have been audited by an independent registered public accounting firm that is headquartered in the United States who is subject to laws in the United States pursuant to which the PCAOB conducts regular inspections to assess an auditor’s compliance with the applicable professional standards, and has been inspected by the PCAOB on a regular basis. Our auditor is not among the PCAOB-registered public accounting firms headquartered in the PRC or Hong Kong that are subject to PCAOB’s determination on December 16, 2021 of having been unable to inspect or investigate completely. As of the date of this prospectus, we have not been identified by the SEC as a commission-identified issuer under the HFCAA. However, there is a risk that our auditor cannot be inspected by the PCAOB in the future. The lack of inspection could cause trading in our securities to be prohibited under the HFCAA, and, as a result, The Nasdaq Stock Market LLC (“Nasdaq”) may determine to delist our securities, which may cause the value of our securities to decline or become worthless. See the risks disclosed in our Annual Report under “Item 3.D. Key Information—Risk Factors—Risks Relating to Conducting Business in China— Although the financial statements contained in this annual report were issued by U.S. auditors who are currently inspected by the PCAOB, if it is later determined that the PCAOB is unable to inspect or investigate our auditor completely, investors would be deprived of the benefits of such inspection and our Class A ordinary shares may be delisted or prohibited from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As a Cayman Islands holding company, Ebang relies on dividends and other distributions on equity paid by its operating subsidiaries for cash and financing requirements, including the funds necessary to pay dividends and other cash distributions to its shareholders or to service any expenses it may incur. Our subsidiaries’, including PRC subsidiaries’, ability to distribute dividends is based upon their distributable earnings. Current PRC regulations permit our PRC subsidiaries to pay dividends to their respective shareholders only out of their accumulated profits, if any, as determined in accordance with PRC accounting standards and regulations. In addition, under PRC law, each of our PRC subsidiaries is required to set aside at least 10% of its after-tax profits each year, if any, to fund certain statutory reserve funds until such reserve funds reach 50% of its registered capital. The after-tax profits shall be used to cover the loss that the PRC subsidiaries made in a previous financial year before any statutory reserve is drawn therefrom, if the statutory reserve is insufficient to cover such loss. These reserves are not distributable as cash dividends. If each of our PRC subsidiaries incurs debt on its own behalf in the future, the instruments governing such debt may restrict its ability to pay dividends to Ebang. According to the relevant PRC regulations on Foreign Exchange Administration of the Overseas Direct Investment of Domestic Institutions, the operating subsidiaries of Ebang who remit dividends to Ebang shall, on the basis of the approval document issued by the competent administrative department of overseas direct investment (the State Administration of Foreign Exchange of the PRC (“SAFE”) and its branch offices) and the foreign exchange registration certificate for overseas direct investment, handle the formalities for the outward remittance of funds for overseas direct investment at a designated foreign exchange bank. The designated foreign exchange bank shall handle the formalities for the domestic institution after an authenticity check.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To date, there have not been any such dividends or other distributions from our PRC subsidiaries to our subsidiaries located outside of China. In addition, as of the date of this prospectus, PRC subsidiaries have never issued any dividends or distributions to Ebang or its shareholders outside of China. Furthermore, as of the date of this prospectus, neither Ebang nor any of its subsidiaries have ever paid dividends or made distributions to U.S. investors. For risks relating to the fund flows of our operations in China, see the risks disclosed in our Annual Report under “Item 3. Key Information—D. Risk Factors—Risks Relating to Conducting Business in China—Our corporate structure may restrict our ability to receive dividends from, and transfer funds to, our PRC operating subsidiaries, which could restrict our ability to act in response to changing market conditions in a timely manner.”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Ebang is permitted under PRC laws and regulations as an offshore holding company to provide funding to its PRC subsidiaries in China through shareholder loans or capital contributions, subject to satisfaction of applicable government registration, approval and filing requirements. According to the relevant PRC regulations on foreign-invested enterprises in China, there are no quantity limits on Ebang’s ability to make capital contributions to its PRC subsidiaries. However, our PRC subsidiaries may not procure loans which exceed one of the following criteria: (i) the difference between their respective registered capital and total investment amount as recorded in the Foreign Investment Comprehensive Management Information System; or (ii) the upper limit of risk-weighted outstanding cross-border financings, which equals to the capital or net assets multiplied by the cross-border financing leverage ratio multiplied by the macro-prudential adjustment parameter.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We are a Cayman Islands holding company and the majority of our assets are located outside of the United States.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See the risks disclosed under “Item 3.D. Key Information—Risk Factors— Risks Relating to Our Securities - Certain judgments obtained against us by our shareholders may not be enforceable” in our Annual Report, which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rPr>
              <w:t>, 2026</w:t>
            </w:r>
          </w:p>
        </w:tc>
      </w:tr>
      <w:tr>
        <w:trPr>
          <w:trHeight w:val="439"/>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60" w:type="dxa"/>
            <w:vAlign w:val="bottom"/>
            <w:tcBorders>
              <w:bottom w:val="single" w:sz="8" w:color="CCEEFF"/>
            </w:tcBorders>
            <w:gridSpan w:val="10"/>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2640" w:type="dxa"/>
            <w:vAlign w:val="bottom"/>
          </w:tcPr>
          <w:p>
            <w:pPr>
              <w:ind w:left="206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2640" w:type="dxa"/>
            <w:vAlign w:val="bottom"/>
            <w:shd w:val="clear" w:color="auto" w:fill="CCEEFF"/>
          </w:tcPr>
          <w:p>
            <w:pPr>
              <w:ind w:left="2060"/>
              <w:spacing w:after="0" w:line="176" w:lineRule="exact"/>
              <w:rPr>
                <w:sz w:val="20"/>
                <w:szCs w:val="20"/>
                <w:color w:val="auto"/>
              </w:rPr>
            </w:pPr>
            <w:r>
              <w:rPr>
                <w:rFonts w:ascii="Times New Roman" w:cs="Times New Roman" w:eastAsia="Times New Roman" w:hAnsi="Times New Roman"/>
                <w:sz w:val="18"/>
                <w:szCs w:val="18"/>
                <w:color w:val="auto"/>
              </w:rPr>
              <w:t>iv</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40" w:type="dxa"/>
            <w:vAlign w:val="bottom"/>
          </w:tcPr>
          <w:p>
            <w:pPr>
              <w:ind w:left="2080"/>
              <w:spacing w:after="0" w:line="176" w:lineRule="exact"/>
              <w:rPr>
                <w:sz w:val="20"/>
                <w:szCs w:val="20"/>
                <w:color w:val="auto"/>
              </w:rPr>
            </w:pPr>
            <w:r>
              <w:rPr>
                <w:rFonts w:ascii="Times New Roman" w:cs="Times New Roman" w:eastAsia="Times New Roman" w:hAnsi="Times New Roman"/>
                <w:sz w:val="18"/>
                <w:szCs w:val="18"/>
                <w:color w:val="auto"/>
              </w:rPr>
              <w:t>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7280" w:type="dxa"/>
            <w:vAlign w:val="bottom"/>
            <w:tcBorders>
              <w:bottom w:val="single" w:sz="8" w:color="CCEEFF"/>
            </w:tcBorders>
            <w:gridSpan w:val="15"/>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6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6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w:t>
            </w:r>
          </w:p>
        </w:tc>
        <w:tc>
          <w:tcPr>
            <w:tcW w:w="26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SHARE CAPITAL</w:t>
            </w:r>
          </w:p>
        </w:tc>
        <w:tc>
          <w:tcPr>
            <w:tcW w:w="5720" w:type="dxa"/>
            <w:vAlign w:val="bottom"/>
            <w:tcBorders>
              <w:bottom w:val="single" w:sz="8" w:color="CCEEFF"/>
            </w:tcBorders>
            <w:gridSpan w:val="8"/>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6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5"/>
        </w:trPr>
        <w:tc>
          <w:tcPr>
            <w:tcW w:w="8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4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4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7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15"/>
                <w:szCs w:val="15"/>
                <w:color w:val="auto"/>
              </w:rPr>
            </w:pPr>
          </w:p>
        </w:tc>
        <w:tc>
          <w:tcPr>
            <w:tcW w:w="7140" w:type="dxa"/>
            <w:vAlign w:val="bottom"/>
            <w:tcBorders>
              <w:top w:val="single" w:sz="8" w:color="CCEEFF"/>
            </w:tcBorders>
            <w:gridSpan w:val="14"/>
          </w:tcPr>
          <w:p>
            <w:pPr>
              <w:spacing w:after="0"/>
              <w:rPr>
                <w:sz w:val="15"/>
                <w:szCs w:val="15"/>
                <w:color w:val="auto"/>
              </w:rPr>
            </w:pPr>
          </w:p>
        </w:tc>
        <w:tc>
          <w:tcPr>
            <w:tcW w:w="2640" w:type="dxa"/>
            <w:vAlign w:val="bottom"/>
            <w:tcBorders>
              <w:top w:val="single" w:sz="8" w:color="CCEEFF"/>
            </w:tcBorders>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252" w:lineRule="exact"/>
        <w:rPr>
          <w:sz w:val="20"/>
          <w:szCs w:val="20"/>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“ASICs” means application-specific ICs, meaning ICs designed for a specific application;</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means the People’s Republic of China, excluding, for the purposes of this prospectus only, Taiwan, the Hong Kong Special Administrative Region and the Macao Special Administrative Region;</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means financial technology;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means integrated circuits;</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operating subsidiaries” means, for the purpose of this prospectus, primarily, Zhejiang Ebang Communication Technology Co., Ltd. (“Zhejiang Ebang”), Hangzhou Yibang Botong Technology Co., Ltd. (“Hangzhou Yibang Botong”), Hangzhou Ebang Shengye Technology Co., Ltd. (“Hangzhou Ebang Shengye”), Hangzhou Ebang Hongkun Technology Co., Ltd. (“Hangzhou Ebang Hongkun”) and Hangzhou Kunyuan Information Technology Co., Ltd. (“Hangzhou Kunyuan”);</w:t>
      </w:r>
    </w:p>
    <w:p>
      <w:pPr>
        <w:spacing w:after="0" w:line="233" w:lineRule="exact"/>
        <w:rPr>
          <w:rFonts w:ascii="Times New Roman" w:cs="Times New Roman" w:eastAsia="Times New Roman" w:hAnsi="Times New Roman"/>
          <w:sz w:val="18"/>
          <w:szCs w:val="18"/>
          <w:color w:val="auto"/>
        </w:rPr>
      </w:pPr>
    </w:p>
    <w:p>
      <w:pPr>
        <w:jc w:val="both"/>
        <w:ind w:left="740" w:right="40" w:hanging="354"/>
        <w:spacing w:after="0" w:line="255"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means, for the purpose of this prospectus, primarily, PRC operating subsidiaries, Hangzhou Ebang Hongfa Technology Co., Ltd. (“Ebang Hongfa”), Hangzhou Ebang Shuotai Technology Co., Ltd. (“Hangzhou Ebang Shuotai”), Hangzhou Dewang Information Technology Co., Ltd. (“Hangzhou Dewang”), Zhejiang Ebang Communication Co., Ltd. (“Zhejiang Ebang Communication”) , Hangzhou Bangyun Information Technology Co., Ltd. (formerly known as Yunnan Ebang Information Technology Co., Ltd.) (“Hangzhou Bangyun”), Hangzhou Yijiaxin IC Design Co., Ltd. (“Hangzhou Yijiaxin”), Redback Technologies (Hangzhou) Co., Ltd. (formerly known as Redback Technologies (Shanghai) Co., Ltd.) (“Redback Hangzhou”), Hangzhou Yibang Zhiyuan New Materials Co., Ltd., and Yibang New Materials (Inner Mongolia) Co., Ltd.;</w:t>
      </w:r>
    </w:p>
    <w:p>
      <w:pPr>
        <w:spacing w:after="0" w:line="242" w:lineRule="exact"/>
        <w:rPr>
          <w:rFonts w:ascii="Times New Roman" w:cs="Times New Roman" w:eastAsia="Times New Roman" w:hAnsi="Times New Roman"/>
          <w:sz w:val="18"/>
          <w:szCs w:val="18"/>
          <w:color w:val="auto"/>
        </w:rPr>
      </w:pPr>
    </w:p>
    <w:p>
      <w:pPr>
        <w:jc w:val="both"/>
        <w:ind w:left="740" w:right="40" w:hanging="354"/>
        <w:spacing w:after="0" w:line="255"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subsidiaries” means, for the purpose of this prospectus, primarily, PRC operating subsidiaries, Ebonex Australia Pty Ltd (“Ebonex Australia”), Ebon Operations Australia Pty Ltd (“Ebon Operations”), Ebonfx Australia Pty Ltd (formerly known as Compass Global Holdings Pty Ltd) (“Ebonfx Australia”), Ebon Financial Services Pty Limited (“Ebon Financial Services”), Redback Technologies Holdings Pty Ltd (“Redback Technologies”), Redback Operations Pty Ltd (“Redback Operations”), Luceo Australia Pty Ltd (“Luceo Australia”), Luceo Management Pty Ltd (“Luceo Management”), Ebang Communications (HK) Technology Limited (formerly known as Hong Kong Bite Co., Limited) (“HK Ebang Communications”), HongKong Ebang Digital Technology Limited (“HK Ebang Digital”), and Ebon Solar Inc. (“Ebon Solar”);</w:t>
      </w:r>
    </w:p>
    <w:p>
      <w:pPr>
        <w:spacing w:after="0" w:line="242"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“Class A ordinary shares” means our Class A ordinary shares, par value HK$0.03 per share;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means the legal currency of the United States; and</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“Ebang,” “Ebang International” and “our” means Ebang International Holdings Inc., our Cayman Islands holding company and from time to time, in the context of describing our business, our operations and consolidated financial information, Ebang International Holdings Inc. and its subsidiaries.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using a “shelf” registration process permitted under the Securities Act. By using a shelf registration statement, we may sell our Class A ordinary shares, debt securities, warrants, subscription rights, units or any combination of any of the foregoing having an aggregate offering price of up to US$75,000,000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prospectus supplement, together with the additional information described under the heading “Where You Can Find More Information About Us” and “Incorporation of Documents by Reference.”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Securities Exchange Act of 1934, as amended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SEC also maintains a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 We also maintain a website at </w:t>
      </w:r>
      <w:r>
        <w:rPr>
          <w:rFonts w:ascii="Times New Roman" w:cs="Times New Roman" w:eastAsia="Times New Roman" w:hAnsi="Times New Roman"/>
          <w:sz w:val="18"/>
          <w:szCs w:val="18"/>
          <w:i w:val="1"/>
          <w:iCs w:val="1"/>
          <w:color w:val="auto"/>
        </w:rPr>
        <w:t>http://www.ebang.com</w:t>
      </w:r>
      <w:r>
        <w:rPr>
          <w:rFonts w:ascii="Times New Roman" w:cs="Times New Roman" w:eastAsia="Times New Roman" w:hAnsi="Times New Roman"/>
          <w:sz w:val="18"/>
          <w:szCs w:val="18"/>
          <w:color w:val="auto"/>
        </w:rPr>
        <w:t>, but information contained on, or linked from, our website is not incorporated by reference in this prospectus or any prospectus supplement or the registration statement of which they form a part. You should not regard any information on our website as a part of this prospectus or any prospectus supplement.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and our principal shareholders are also exempt from the reporting provisions contained in Section 16 of the Exchange Act. In addition, we are not required under the Exchange Act to file periodic reports and financial statements with the SEC as frequently or as promptly as U.S. companies whose securities are registered under the Exchange Act. All information filed with the SEC can be inspected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through the SEC’s website, as provided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52" w:lineRule="exact"/>
        <w:rPr>
          <w:sz w:val="20"/>
          <w:szCs w:val="20"/>
          <w:color w:val="auto"/>
        </w:rPr>
      </w:pPr>
    </w:p>
    <w:p>
      <w:pPr>
        <w:ind w:left="760" w:hanging="36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April 24, 2026;</w:t>
      </w:r>
    </w:p>
    <w:p>
      <w:pPr>
        <w:spacing w:after="0" w:line="279" w:lineRule="exact"/>
        <w:rPr>
          <w:rFonts w:ascii="Times New Roman" w:cs="Times New Roman" w:eastAsia="Times New Roman" w:hAnsi="Times New Roman"/>
          <w:sz w:val="18"/>
          <w:szCs w:val="18"/>
          <w:color w:val="auto"/>
        </w:rPr>
      </w:pPr>
    </w:p>
    <w:p>
      <w:pPr>
        <w:jc w:val="both"/>
        <w:ind w:left="760" w:right="40" w:hanging="361"/>
        <w:spacing w:after="0" w:line="261" w:lineRule="auto"/>
        <w:tabs>
          <w:tab w:leader="none" w:pos="76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Class A ordinary shares contained in (i) our registration statement on </w:t>
      </w:r>
      <w:hyperlink r:id="rId2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June 17, 2020 under Section 12(b) of the Exchange Act, including any amendments or reports filed for the purpose of updating such description and (ii) </w:t>
      </w:r>
      <w:hyperlink r:id="rId29">
        <w:r>
          <w:rPr>
            <w:rFonts w:ascii="Times New Roman" w:cs="Times New Roman" w:eastAsia="Times New Roman" w:hAnsi="Times New Roman"/>
            <w:sz w:val="18"/>
            <w:szCs w:val="18"/>
            <w:u w:val="single" w:color="auto"/>
            <w:color w:val="0000EE"/>
          </w:rPr>
          <w:t>Exhibit 2.5</w:t>
        </w:r>
      </w:hyperlink>
      <w:r>
        <w:rPr>
          <w:rFonts w:ascii="Times New Roman" w:cs="Times New Roman" w:eastAsia="Times New Roman" w:hAnsi="Times New Roman"/>
          <w:sz w:val="18"/>
          <w:szCs w:val="18"/>
          <w:color w:val="000000"/>
        </w:rPr>
        <w:t>—Description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Securities Registered Pursuant to Section 12 of the Securities Exchange Act of 1934, to our Annual Report on Form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20-F for the fiscal year ended December 31, 2025, filed with the SEC on April 24, 2026; and</w:t>
      </w:r>
    </w:p>
    <w:p>
      <w:pPr>
        <w:spacing w:after="0" w:line="233" w:lineRule="exact"/>
        <w:rPr>
          <w:rFonts w:ascii="Times New Roman" w:cs="Times New Roman" w:eastAsia="Times New Roman" w:hAnsi="Times New Roman"/>
          <w:sz w:val="18"/>
          <w:szCs w:val="18"/>
          <w:color w:val="0000EE"/>
        </w:rPr>
      </w:pPr>
    </w:p>
    <w:p>
      <w:pPr>
        <w:jc w:val="both"/>
        <w:ind w:left="760" w:right="40" w:hanging="361"/>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securities under this prospectus, all of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such offering by means of this prospectus.</w:t>
      </w:r>
    </w:p>
    <w:p>
      <w:pPr>
        <w:spacing w:after="0" w:line="203"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Dong Hu, Chief Executive Officer</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(972) 689-1452</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ir@ebang.com</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600 East John Carpenter Freeway, Suite 110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Irving, Texas 75062</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these filings are also available on our website at www.ebang.com. For other ways to obtain a copy of these filings, please refer to “Where You Can Find More Information About Us” above.</w:t>
      </w:r>
    </w:p>
    <w:p>
      <w:pPr>
        <w:spacing w:after="0" w:line="162"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prospectus supplement.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39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and any prospectus supplement, and the documents that we reference herein and therein and have filed as exhibits to this Registration Statement, contain “forward-looking statements” within the meaning of Section 21(E) of the Exchange Act and Section 27A of the Securities Act, which reflect our current expectations and views of future events. Known and unknown risks, uncertainties and other factors, including those listed in the section entitled “Risk Factors,”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207" w:lineRule="exact"/>
        <w:rPr>
          <w:sz w:val="20"/>
          <w:szCs w:val="20"/>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plans for the development of existing and new businesses, ability to implement such strategies and plans and expected time;</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customers and business partners;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trends in, expected growth in and market size of the industries in the markets we have business and globally;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market position;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technologies and/or upgrade our existing technologies;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740" w:right="40" w:hanging="354"/>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or changes to, laws, regulations, governmental policies, incentives and taxation affecting our operations, in particular in the industries in which we conduct our business;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governmental policies and regulations relating to our businesses and industry;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 competitive landscape and potential competitor behavior in our industry; overall industry outlook in our industry;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executives and other employees;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global financial and capital markets;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inflation, interest rates and exchange rates;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political, social and economic conditions in the markets we have business;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You should thoroughly read this prospectus, any prospectus supplement and the documents that we refer to with the understanding that our actual future results may be materially different from and worse than what we expect. In addition, the rapidly changing nature of the industries in which we operate our businesses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 We qualify all of our forward-looking statements by these cautionary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36130" cy="4530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6130" cy="4530090"/>
                    </a:xfrm>
                    <a:prstGeom prst="rect">
                      <a:avLst/>
                    </a:prstGeom>
                    <a:noFill/>
                  </pic:spPr>
                </pic:pic>
              </a:graphicData>
            </a:graphic>
          </wp:anchor>
        </w:drawing>
        <w:t>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lines are: Fintech, renewable energy, telecommunications, and blockchain products. Our Fintech businesses are primarily composed of our cryptocurrency exchange and cross-border payment and foreign exchange. Our renewable energy business was launched in November 2024 through the acquisition of Redback Technologies, which has been in operation for over 10 years in Australia. This business primarily offers solar and battery storage solutions and Software as a Service (“SaaS”) data visualization and analytics solutions. Our telecommunications business focuses on access-layer network devices that connect end users to telecommunications networks, with two main product lines and supporting components: Fiber-Optic Communication Access Devices and Enterprise Convergent Communication Terminals. Our blockchain products business is our legacy business that consists primarily of Bitcoin mining machine sales. Our legacy is built on our strong ASIC chip design capability, profound expertise and technical reserves, as well as years of manufacturing experience. To achieve a more stable financial performance, we are focused on consolidating our Fintech business, developing our renewable energy business, and exploring opportunities in emerging sectors. We intend to continue to concentrate our efforts in our core and related business areas in the foreseeable future, while remaining adaptable to market demands and open to new opportunities. As industry conditions, regulatory environments and market demand continue to evolve, we may adjust our strategic deployment, business focus and operating model from time to time. Our strategic plan will evolve as we identify and pursue growth initiatives that support the long-term development of our business and value creation for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600 East John Carpenter Freeway, Suite 110, Irving, Texas 75062 . Our telephone number at this address is</w:t>
      </w:r>
    </w:p>
    <w:p>
      <w:pPr>
        <w:spacing w:after="0" w:line="27" w:lineRule="exact"/>
        <w:rPr>
          <w:sz w:val="20"/>
          <w:szCs w:val="20"/>
          <w:color w:val="auto"/>
        </w:rPr>
      </w:pPr>
    </w:p>
    <w:p>
      <w:pPr>
        <w:ind w:left="440" w:hanging="435"/>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689-1452. Our registered office in the Cayman Islands is located at Cricket Square, Hutchins Drive, P.O. Box 2681, Grand Cayman KY1-1111.</w:t>
      </w: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455"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risk factors and uncertainties described in this prospectus and under the heading “Item 3. Key Information—D. Risk Factors” in our Annual Report, which is incorporated in this prospectus by reference, as updated by our subsequent filings under the Exchange Act, the information contained under the heading “Special Note Regarding Forward-Looking Statements” in this prospectus or under any similar heading in any applicable prospectus supplement or in any document incorporated herein or therein by reference, any specific risk factors discussed under the caption “Risk Factors” in any applicable prospectus supplement or in any document incorporated herein or therein by reference and the other information contained in, or incorporated by reference in, this prospectus or any applicable prospectus supplement before investing in any of the securities that may be offered or sold pursuant to this prospectus. If these risks and uncertainties occur, they could materially affect our business, results of operations or financial condition and cause the value of our securities to decline and you could lose all or part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changes in PRC laws and regulations could affect our business, financial condition and results of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may be cited for reference but have limited precedential value. The PRC legal system is evolving rapidly and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this could also result in substantial costs and divert our resources and the attention of our management. Any failure to respond to changes in the regulatory environment in China could materially and adversely affect our business and impede our ability to continue our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also face risks associated with regulatory approvals on offerings conducted overseas and foreign investment in China-based issuers, anti-monopoly regulatory actions, and oversight on cybersecurity and data privacy practices. The failure to comply with such laws and regulations may negatively impact our ability to conduct certain businesses, access foreign investments, or list on a foreign stock exchange. Chinese regulatory authorities may promulgate stricter laws and regulations governing offshore issuance activities and enhance supervision over outbound investments by domestic issuers. Failure to comply with such requirements may materially significantly limit or completely hinder our ability to offer or continue to offer securities to investors and cause the value of such securities to significantly decline or be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registered as set forth in the applicable prospectus supplement.</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to take advantage of certain benefits associated with being a Cayman Islands exempted company:</w:t>
      </w:r>
    </w:p>
    <w:p>
      <w:pPr>
        <w:spacing w:after="0" w:line="189" w:lineRule="exact"/>
        <w:rPr>
          <w:sz w:val="20"/>
          <w:szCs w:val="20"/>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252" w:lineRule="exact"/>
        <w:rPr>
          <w:sz w:val="20"/>
          <w:szCs w:val="20"/>
          <w:color w:val="auto"/>
        </w:rPr>
      </w:pPr>
    </w:p>
    <w:p>
      <w:pPr>
        <w:ind w:left="740" w:right="40" w:hanging="354"/>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exhaustive body of securities laws than the United States and these securities laws provide significantly less protection to investors;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conducted a majority of our operations outside the United States, and a majority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Conyers Dill &amp; Pearman, our counsel as to Cayman Islands laws, has advised us that there is uncertainty as to whether the courts in the Cayman Islands would (1) recognize or enforce judgments of United States courts obtained against us or our directors or officers to impose liabilities against us predicated upon the civil liability provisions of the securities laws of the United States or any state in the United States; or (2) entertain original actions brought in each respective jurisdiction against us or our directors or officers predicated upon the federal securities laws of the United States or the securities laws of any state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obtained in the federal or state courts in the United States under which a sum of money is payable (other than a sum of money payable in respect of multiple damages, taxes or other charges of a like nature or in respect of a fine or other penalty) or, in certain circumstances, an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punitive judgment of a United States court predicated upon the civil liability provisions of the federal securities laws in the United States without retrial on the merits if such judgment is determined by the courts of the Cayman Islands to give rise to obligations to make payments that may be regarded as fines, penalties or punitive in nature. Because such a determination has not yet been made by a court of the Cayman Islands, it is uncertain whether such civil liability judgments from United States courts would be enforceable in the Cayman Islands. A Cayman Islands court may stay enforcement proceedings if concurrent proceedings are being brought elsewhere.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Jingtian &amp; Gongcheng, our counsel as to PRC laws,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detailed description of risks related to enforceability of civil liabilities, see the section of the risk factors included in our Annual Report entitled “Item 3.D. Key Information—Risk Factors—Risks Relating to Our Securities—Certain judgments obtained against us by our shareholders may not be enforceable” and “—You may face difficulties in protecting your interests in the Company, and your ability to protect your rights through U.S. courts may be limited, because we are incorporated under Cayman Islands law and conduct our operations primarily in emerging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offer and sell from time to time, in one or more offerings, the following securities:</w:t>
      </w:r>
    </w:p>
    <w:p>
      <w:pPr>
        <w:spacing w:after="0" w:line="252" w:lineRule="exact"/>
        <w:rPr>
          <w:sz w:val="20"/>
          <w:szCs w:val="20"/>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w:t>
      </w:r>
    </w:p>
    <w:p>
      <w:pPr>
        <w:spacing w:after="0" w:line="27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7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Class A ordinary shares or debt securities;</w:t>
      </w:r>
    </w:p>
    <w:p>
      <w:pPr>
        <w:spacing w:after="0" w:line="27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Class A ordinary shares or debt securities; and</w:t>
      </w:r>
    </w:p>
    <w:p>
      <w:pPr>
        <w:spacing w:after="0" w:line="279" w:lineRule="exact"/>
        <w:rPr>
          <w:rFonts w:ascii="Times New Roman" w:cs="Times New Roman" w:eastAsia="Times New Roman" w:hAnsi="Times New Roman"/>
          <w:sz w:val="18"/>
          <w:szCs w:val="18"/>
          <w:color w:val="auto"/>
        </w:rPr>
      </w:pPr>
    </w:p>
    <w:p>
      <w:pPr>
        <w:ind w:left="760" w:right="60" w:hanging="374"/>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Class A ordinary shares, debt securities, warrants to purchase Class A ordinary shares or debt securities and/or subscription rights to purchase Class A ordinary shares or debt securities.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description of the terms and provisions of our ordinary shares, debt securities, warrants to purchase Class A ordinary shares or debt securities, subscription rights to purchase Class A ordinary shares or debt securities and units consisting of any combination of Class A ordinary shares, debt securities, warrants to purchase Class A ordinary shares or debt securities and/or subscription rights to purchase Class A ordinary shares or debt securities, which we may offer and sell using this prospectus. These summaries are not meant to be a complete description of each security. We will set forth in the applicable prospectus supplement a description of the securities that may be offered under this prospectus. The terms of the offering of securities, the initial offering price and the net proceeds to us, as applicable, will be contained in the prospectus supplement and other offering material relating to such offering. The prospectus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second amended and restated articles of association (“Articles”) and the Companies Act (As Revised) of the Cayman Islands (the “Companies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second amended and restated memorandum of association, the objects of our company are unrestricted and we have the full power and authority to carry out any object not prohibited by the law of the Cayman Islands. Our authorized share capital is 12,666,666.66 ordinary shares consisting of (a) 11,112,473.90 Class A ordinary shares and (b) 1,554,192.76 Class B ordinary shares, HK$0.03 par value per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14, 2026, there were 4,989,746.22 Class A ordinary shares and 1,554,192 Class B ordinary shares issued and outstanding. Our issued and outstanding ordinary shares consist of Class A ordinary shares and Class B ordinary shares. All of our outstanding ordinary shares, which consist of Class A ordinary shares and Class B ordinary shares, are fully paid and non-assessable. Certificates representing the ordinary shares are issued in registered form. Our shareholders who are non-residents of the Cayman Islands may freely hold and transfer their ordinary shares.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including the rights to dividends and other capital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Class A ordinary shares are not convertible into Class B ordinary shares under any circumstances. Upon any sale of Class B ordinary shares by a holder thereof to any person or entity that is not ultimately controlled by the Founder (as defined in our Articles), such Class B ordinary shares will be automatically and immediately converted into an equal number of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show of hands each shareholder is entitled to one vote or, on a poll, each shareholder is entitled to one vote for each Class A ordinary share and 20 votes for each Class B ordinary share, voting together as a single class,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ordinary resolution to be passed at a general meeting requires the affirmative vote of a simple majority of the votes cast, while a special resolution requires the affirmative vote of at least two-thirds of votes attached to all outstanding ordinary shares cast at a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listed on Nasdaq under the symbol “EBON.”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Class A ordinary shares is VStock Transfer, LLC, a California limited liability company with its business address at 18 Lafayette Place, Woodmere, New York 11598.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provides that our company may (but shall not be obligated to) hold an annual general meeting of shareholders in each calendar year, subject to Cayman Islands laws and the Nasdaq Rules, in which case we shall specify the meeting as such in the notices calling it, and the annual general meeting shall be held as a physical meeting in any part of the world and/or at one or more locations or as a hybrid meeting or as an electronic meeting, at such time and place as may be determined by our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meetings may be convened by a majority of our board of directors or the chairman of our board of directors. Advance notice of at least ten clear days (as defined in the Articles) is required for the convening of our annual general meeting and any other general meeting of our shareholders. Notwithstanding that a meeting is called by shorter notice than that mentioned above, but, subject to the Companies Act, it will be deemed to have been duly called, if it is so agreed (1) in the case of a meeting called as an annual general meeting by all of our shareholders entitled to attend and vote at the meeting; and (2) in the case of any other meeting, by a majority in number of the shareholders holding not less than 95% in nominal value of the issued shares giving that right.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business other than the appointment of a chairman may be transacted at any general meeting unless a quorum is present at the commencement of business. However, the absence of a quorum will not preclude the appointment of a chairman. If present, the chairman of our board of directors shall be the chairman presiding at any shareholders’ meetings.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corporation being a shareholder shall be deemed for the purpose of our Articles to be present in person if represented by its duly authorized representative being the person appointed by resolution of the directors or other governing body of such corporation to act as its representative at the relevant general meeting or at any relevant general meeting of any class of our shareholders. Such duly authorized representative shall be entitled to exercise the same powers on behalf of the corporation that he represents as that corporation could exercise if it were our individual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any applicable restrictions set forth in our Articles,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Global Select Market or in another form that our directors may approve.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189" w:lineRule="exact"/>
        <w:rPr>
          <w:sz w:val="20"/>
          <w:szCs w:val="20"/>
          <w:color w:val="auto"/>
        </w:rPr>
      </w:pPr>
    </w:p>
    <w:p>
      <w:pPr>
        <w:ind w:left="740" w:right="40" w:hanging="354"/>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Select Market may determine to be payable or such lesser sum as our directors may from time to time require is paid to us in respect thereof.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consideration received by each holder of a Class A ordinary share and a holder of a Class B ordinary share will be the same in any liquidation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our Articles and to the terms of allotment,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Shares, Repurchase and Surrender of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empowered by the Companies Act and our Articles to purchase our own shares, subject to certain restrictions. Our directors may only exercise this power on our behalf, subject to the Companies Act, our Articles and to any applicable requirements imposed from time to time by the Nasdaq Global Select Market, the SEC, or by any other recognized stock exchange on which our securities are listed.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repurchase any of our shares on such terms and in such manner as have been approved by our board of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Articles authorize our board of directors to issue additional ordinary shares from time to time as our board of directors shall determine, to the extent of available authorized but unissued shares.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Articles also authorize our board of directors to establish from time to time one or more series of preference shares and to determine, with respect to any series of preference shares, the terms and rights of that series, including:</w:t>
      </w:r>
    </w:p>
    <w:p>
      <w:pPr>
        <w:spacing w:after="0" w:line="189" w:lineRule="exact"/>
        <w:rPr>
          <w:sz w:val="20"/>
          <w:szCs w:val="20"/>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provisions of our Articles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Articles for a proper purpose and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by ordinary resolution in accordance with the Companies Act alter the conditions of our Articles to:</w:t>
      </w:r>
    </w:p>
    <w:p>
      <w:pPr>
        <w:spacing w:after="0" w:line="252" w:lineRule="exact"/>
        <w:rPr>
          <w:sz w:val="20"/>
          <w:szCs w:val="20"/>
          <w:color w:val="auto"/>
        </w:rPr>
      </w:pPr>
    </w:p>
    <w:p>
      <w:pPr>
        <w:ind w:left="760" w:hanging="36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capital by such sum, to be divided into shares of such amounts, as the resolution shall prescribe;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amounts than our existing shares;</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215" w:lineRule="exact"/>
        <w:rPr>
          <w:rFonts w:ascii="Times New Roman" w:cs="Times New Roman" w:eastAsia="Times New Roman" w:hAnsi="Times New Roman"/>
          <w:sz w:val="18"/>
          <w:szCs w:val="18"/>
          <w:color w:val="auto"/>
        </w:rPr>
      </w:pPr>
    </w:p>
    <w:p>
      <w:pPr>
        <w:jc w:val="both"/>
        <w:ind w:left="760" w:right="40" w:hanging="361"/>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Articles, subject nevertheless to the Companies Act,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unissued or new shares; and</w:t>
      </w:r>
    </w:p>
    <w:p>
      <w:pPr>
        <w:spacing w:after="0" w:line="233" w:lineRule="exact"/>
        <w:rPr>
          <w:rFonts w:ascii="Times New Roman" w:cs="Times New Roman" w:eastAsia="Times New Roman" w:hAnsi="Times New Roman"/>
          <w:sz w:val="18"/>
          <w:szCs w:val="18"/>
          <w:color w:val="auto"/>
        </w:rPr>
      </w:pPr>
    </w:p>
    <w:p>
      <w:pPr>
        <w:jc w:val="both"/>
        <w:ind w:left="760" w:right="40" w:hanging="361"/>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authorized by law.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207" w:lineRule="exact"/>
        <w:rPr>
          <w:sz w:val="20"/>
          <w:szCs w:val="20"/>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memorandum and articles of association, is not required to open its register of members for inspection;</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memorandum and articles of association, does not have to hold an annual general meeting;</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twenty (20) years in the first instance);</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companies incorporated in the State of Delaware.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members scheme, by seventy-five per cent in value of the members or class of members, as the case may be, with whom the arrangement is to be made and in the case of a creditors scheme,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219" w:lineRule="exact"/>
        <w:rPr>
          <w:sz w:val="20"/>
          <w:szCs w:val="20"/>
          <w:color w:val="auto"/>
        </w:rPr>
      </w:pPr>
    </w:p>
    <w:p>
      <w:pPr>
        <w:ind w:left="760" w:hanging="361"/>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our company to challenge actions where:</w:t>
      </w:r>
    </w:p>
    <w:p>
      <w:pPr>
        <w:spacing w:after="0" w:line="210" w:lineRule="exact"/>
        <w:rPr>
          <w:sz w:val="20"/>
          <w:szCs w:val="20"/>
          <w:color w:val="auto"/>
        </w:rPr>
      </w:pPr>
    </w:p>
    <w:p>
      <w:pPr>
        <w:ind w:left="760" w:hanging="361"/>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if duly authorized by more than a simple majority vote that has not been obtained; and</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Articles.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89" w:lineRule="exact"/>
        <w:rPr>
          <w:sz w:val="20"/>
          <w:szCs w:val="20"/>
          <w:color w:val="auto"/>
        </w:rPr>
      </w:pPr>
    </w:p>
    <w:p>
      <w:pPr>
        <w:ind w:left="760" w:hanging="361"/>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279" w:lineRule="exact"/>
        <w:rPr>
          <w:rFonts w:ascii="Times New Roman" w:cs="Times New Roman" w:eastAsia="Times New Roman" w:hAnsi="Times New Roman"/>
          <w:sz w:val="18"/>
          <w:szCs w:val="18"/>
          <w:color w:val="auto"/>
        </w:rPr>
      </w:pPr>
    </w:p>
    <w:p>
      <w:pPr>
        <w:ind w:left="760" w:right="60" w:hanging="361"/>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Articles do not allow shareholders to act by written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prohibitions in relation to cumulative voting under the laws of the Cayman Islands but our Articles do not provide for cumulative voting. As a result, our shareholders are not afforded any less protections or rights on this issue than shareholders of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directors may be removed with or without cause, by an ordinary resolution of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and for a proper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Articles, if our share capital is divided into more than one class of shares, we may vary the rights attached to any class with sanction of a resolution passed by a majority of two-thirds of the votes cast at a separate meeting of the holders of the shares of that class.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Cayman Islands law, our Articles may only be amended with a special resolution of our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imposed by our Articles on the rights of non-resident or foreign shareholders to hold or exercise voting rights on our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there are no provisions in our Articles governing the ownership threshold above which shareholder ownership must be disclosed.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shares will have no general right under Cayman Islands law to inspect or obtain copies of our list of shareholders or our corporate records. However, we intend to provide our shareholders with annual reports containing audited financial statements. See “Where You Can Find Additional Information About 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issue series of debt securities, which may include debt securities exchangeable for or convertible into Class A ordinary shares. The following is a summary of some general terms of the debt securities that we may offer by this prospectus and any applicable prospectus supplement. Because it is a summary, it does not contain all of the information that may be important to you. If you want more information, you should read the forms of indentures which we will file in connection with a particular offering and will be incorporated by reference into the registration statement of which this prospectus is a part. If we issue debt securities, we will file any additional final indentures, and any supplemental indentures or officer’s certificates related to the particular series of debt securities issued, with the SEC, and incorporate them by reference as an exhibit to the registration statement of which this prospectus is a part on or before the time we issue a series of debt securities, and you should read those documents for further information about the terms and provisions of such debt securities. See “Where You Can Find More Information About Us” and “Incorporation of Documents by Reference.” This summary is also subject to and qualified by reference to the descriptions of the particular terms of our debt securities to be described in the applicable prospectus supplement. The applicable prospectus supplement may add to, update or change the terms of such debt securities from those described below.</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securities sold under this prospectus will be direct obligations of our company and, unless otherwise stated in a prospectus supplement, will not be obligations of any of our subsidiaries. Such debt obligations may be secured or unsecured and may be senior or subordinated indebtedness. Our debt securities will be issued under one or more indentures between us and a trustee. Any indenture will be subject to and governed by the Trust Indenture Act of 1939, as amended (the “Trust Indenture Act”). The statements made in this prospectus relating to any future indentures and the debt securities to be issued under the indentures are summaries of certain anticipated provisions of the indentures and are not complete.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spacing w:after="0" w:line="207" w:lineRule="exact"/>
        <w:rPr>
          <w:sz w:val="20"/>
          <w:szCs w:val="20"/>
          <w:color w:val="auto"/>
        </w:rPr>
      </w:pPr>
    </w:p>
    <w:p>
      <w:pPr>
        <w:ind w:left="760" w:hanging="36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aggregate principal amount) at which we will sell the debt securities;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repay the principal on the debt securities and the right, if any, to extend the maturity of the debt securities;</w:t>
      </w:r>
    </w:p>
    <w:p>
      <w:pPr>
        <w:spacing w:after="0" w:line="279" w:lineRule="exact"/>
        <w:rPr>
          <w:rFonts w:ascii="Times New Roman" w:cs="Times New Roman" w:eastAsia="Times New Roman" w:hAnsi="Times New Roman"/>
          <w:sz w:val="18"/>
          <w:szCs w:val="18"/>
          <w:color w:val="auto"/>
        </w:rPr>
      </w:pPr>
    </w:p>
    <w:p>
      <w:pPr>
        <w:jc w:val="both"/>
        <w:ind w:left="760" w:right="40" w:hanging="361"/>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22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361" w:right="20" w:hanging="361"/>
        <w:spacing w:after="0" w:line="282"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215" w:lineRule="exact"/>
        <w:rPr>
          <w:rFonts w:ascii="Times New Roman" w:cs="Times New Roman" w:eastAsia="Times New Roman" w:hAnsi="Times New Roman"/>
          <w:sz w:val="18"/>
          <w:szCs w:val="18"/>
          <w:color w:val="auto"/>
        </w:rPr>
      </w:pPr>
    </w:p>
    <w:p>
      <w:pPr>
        <w:ind w:left="361" w:right="20" w:hanging="361"/>
        <w:spacing w:after="0" w:line="282"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215"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279"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79" w:lineRule="exact"/>
        <w:rPr>
          <w:rFonts w:ascii="Times New Roman" w:cs="Times New Roman" w:eastAsia="Times New Roman" w:hAnsi="Times New Roman"/>
          <w:sz w:val="18"/>
          <w:szCs w:val="18"/>
          <w:color w:val="auto"/>
        </w:rPr>
      </w:pPr>
    </w:p>
    <w:p>
      <w:pPr>
        <w:ind w:left="361" w:right="20" w:hanging="361"/>
        <w:spacing w:after="0" w:line="282"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215"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79" w:lineRule="exact"/>
        <w:rPr>
          <w:rFonts w:ascii="Times New Roman" w:cs="Times New Roman" w:eastAsia="Times New Roman" w:hAnsi="Times New Roman"/>
          <w:sz w:val="18"/>
          <w:szCs w:val="18"/>
          <w:color w:val="auto"/>
        </w:rPr>
      </w:pPr>
    </w:p>
    <w:p>
      <w:pPr>
        <w:ind w:left="361" w:hanging="361"/>
        <w:spacing w:after="0" w:line="282"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215" w:lineRule="exact"/>
        <w:rPr>
          <w:rFonts w:ascii="Times New Roman" w:cs="Times New Roman" w:eastAsia="Times New Roman" w:hAnsi="Times New Roman"/>
          <w:sz w:val="18"/>
          <w:szCs w:val="18"/>
          <w:color w:val="auto"/>
        </w:rPr>
      </w:pPr>
    </w:p>
    <w:p>
      <w:pPr>
        <w:jc w:val="both"/>
        <w:ind w:left="361" w:right="20" w:hanging="361"/>
        <w:spacing w:after="0" w:line="282"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215" w:lineRule="exact"/>
        <w:rPr>
          <w:rFonts w:ascii="Times New Roman" w:cs="Times New Roman" w:eastAsia="Times New Roman" w:hAnsi="Times New Roman"/>
          <w:sz w:val="18"/>
          <w:szCs w:val="18"/>
          <w:color w:val="auto"/>
        </w:rPr>
      </w:pPr>
    </w:p>
    <w:p>
      <w:pPr>
        <w:jc w:val="both"/>
        <w:ind w:left="361" w:right="20" w:hanging="361"/>
        <w:spacing w:after="0" w:line="266"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229"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79" w:lineRule="exact"/>
        <w:rPr>
          <w:rFonts w:ascii="Times New Roman" w:cs="Times New Roman" w:eastAsia="Times New Roman" w:hAnsi="Times New Roman"/>
          <w:sz w:val="18"/>
          <w:szCs w:val="18"/>
          <w:color w:val="auto"/>
        </w:rPr>
      </w:pPr>
    </w:p>
    <w:p>
      <w:pPr>
        <w:ind w:left="361" w:hanging="361"/>
        <w:spacing w:after="0" w:line="282" w:lineRule="auto"/>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215"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the indenture with respect to the debt securities;</w:t>
      </w:r>
    </w:p>
    <w:p>
      <w:pPr>
        <w:spacing w:after="0" w:line="279"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and any applicable subordination provisions;</w:t>
      </w:r>
    </w:p>
    <w:p>
      <w:pPr>
        <w:spacing w:after="0" w:line="279"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income tax considerations applicable to the debt securities;</w:t>
      </w:r>
    </w:p>
    <w:p>
      <w:pPr>
        <w:spacing w:after="0" w:line="279"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modify any provisions of the indenture as it applies to that series; and</w:t>
      </w:r>
    </w:p>
    <w:p>
      <w:pPr>
        <w:spacing w:after="0" w:line="279"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1"/>
          </w:cols>
          <w:pgMar w:left="719" w:top="364" w:right="37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are exchangeable for and/or convertible into Class A ordinary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Class A ordinary shares to be received by the holders of debt securities would be calculated.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debt securities of a series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Class A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89" w:lineRule="exact"/>
        <w:rPr>
          <w:sz w:val="20"/>
          <w:szCs w:val="20"/>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equity warrants;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offering price;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equity warrants and the aggregate amount of equity securities purchasable upon exercise of the equity warrants;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equity securities with which the equity warrants are issued, and the amount of equity warrants issued with each equity security;</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equity warrants and the related equity security will be separately transferable;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equity warrants that may be exercised at any one time;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equity warrants;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equity warrants, if any;</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equity warrants; and</w:t>
      </w:r>
    </w:p>
    <w:p>
      <w:pPr>
        <w:spacing w:after="0" w:line="279" w:lineRule="exact"/>
        <w:rPr>
          <w:rFonts w:ascii="Times New Roman" w:cs="Times New Roman" w:eastAsia="Times New Roman" w:hAnsi="Times New Roman"/>
          <w:sz w:val="18"/>
          <w:szCs w:val="18"/>
          <w:color w:val="auto"/>
        </w:rPr>
      </w:pPr>
    </w:p>
    <w:p>
      <w:pPr>
        <w:ind w:left="760" w:right="60" w:hanging="361"/>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equity warrants, including terms, procedures and limitations relating to the exchange and exercise of the equity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89" w:lineRule="exact"/>
        <w:rPr>
          <w:sz w:val="20"/>
          <w:szCs w:val="20"/>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offering price;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principal amount and terms of the debt securities purchasable upon exercise of the debt warrants;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79" w:lineRule="exact"/>
        <w:rPr>
          <w:rFonts w:ascii="Times New Roman" w:cs="Times New Roman" w:eastAsia="Times New Roman" w:hAnsi="Times New Roman"/>
          <w:sz w:val="18"/>
          <w:szCs w:val="18"/>
          <w:color w:val="auto"/>
        </w:rPr>
      </w:pPr>
    </w:p>
    <w:p>
      <w:pPr>
        <w:ind w:left="760" w:right="60" w:hanging="361"/>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terms of any related debt securities with which the debt warrants are issued and the amount of the debt warrants issued with each debt security;</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79" w:lineRule="exact"/>
        <w:rPr>
          <w:rFonts w:ascii="Times New Roman" w:cs="Times New Roman" w:eastAsia="Times New Roman" w:hAnsi="Times New Roman"/>
          <w:sz w:val="18"/>
          <w:szCs w:val="18"/>
          <w:color w:val="auto"/>
        </w:rPr>
      </w:pPr>
    </w:p>
    <w:p>
      <w:pPr>
        <w:ind w:left="760" w:right="60" w:hanging="361"/>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warrants that may be exercised at any one time;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debt warrants;</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debt warrants, if any;</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debt warrants; and</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terms, procedures and limitations relating to the exchange and exercise of the debt warrants.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Class A ordinary shares or debt securities. These subscription rights may be offered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 or other purchasers may be required to purchase any securities remaining unsubscribed for after such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89" w:lineRule="exact"/>
        <w:rPr>
          <w:sz w:val="20"/>
          <w:szCs w:val="20"/>
          <w:color w:val="auto"/>
        </w:rPr>
      </w:pPr>
    </w:p>
    <w:p>
      <w:pPr>
        <w:ind w:left="760" w:hanging="361"/>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Class A ordinary shares or debt securities upon the exercise of the subscription rights;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shareholder;</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Class A ordinary shares or debt securities which may be purchased per each subscription right;</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subscription rights are transferable;</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79" w:lineRule="exact"/>
        <w:rPr>
          <w:rFonts w:ascii="Times New Roman" w:cs="Times New Roman" w:eastAsia="Times New Roman" w:hAnsi="Times New Roman"/>
          <w:sz w:val="18"/>
          <w:szCs w:val="18"/>
          <w:color w:val="auto"/>
        </w:rPr>
      </w:pPr>
    </w:p>
    <w:p>
      <w:pPr>
        <w:ind w:left="760" w:right="60" w:hanging="361"/>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215"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the Company in connection with the offering of subscription rights.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comprising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such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52" w:lineRule="exact"/>
        <w:rPr>
          <w:sz w:val="20"/>
          <w:szCs w:val="20"/>
          <w:color w:val="auto"/>
        </w:rPr>
      </w:pPr>
    </w:p>
    <w:p>
      <w:pPr>
        <w:ind w:left="760" w:right="40" w:hanging="361"/>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or distribute the securities offered by this prospectus, from time to time, in one or more offerings, as follows:</w:t>
      </w:r>
    </w:p>
    <w:p>
      <w:pPr>
        <w:spacing w:after="0" w:line="252" w:lineRule="exact"/>
        <w:rPr>
          <w:sz w:val="20"/>
          <w:szCs w:val="20"/>
          <w:color w:val="auto"/>
        </w:rPr>
      </w:pPr>
    </w:p>
    <w:p>
      <w:pPr>
        <w:ind w:left="760" w:hanging="361"/>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dealers or underwriters for resale;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279" w:lineRule="exact"/>
        <w:rPr>
          <w:rFonts w:ascii="Times New Roman" w:cs="Times New Roman" w:eastAsia="Times New Roman" w:hAnsi="Times New Roman"/>
          <w:sz w:val="18"/>
          <w:szCs w:val="18"/>
          <w:color w:val="auto"/>
        </w:rPr>
      </w:pPr>
    </w:p>
    <w:p>
      <w:pPr>
        <w:ind w:left="760" w:right="40" w:hanging="361"/>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 or</w:t>
      </w:r>
    </w:p>
    <w:p>
      <w:pPr>
        <w:spacing w:after="0" w:line="215"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with respect to the securities may state or supplement the terms of the offering of the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securities distributed by any of these methods may be sold to the public, in one or more transactions, either:</w:t>
      </w:r>
    </w:p>
    <w:p>
      <w:pPr>
        <w:spacing w:after="0" w:line="252" w:lineRule="exact"/>
        <w:rPr>
          <w:sz w:val="20"/>
          <w:szCs w:val="20"/>
          <w:color w:val="auto"/>
        </w:rPr>
      </w:pPr>
    </w:p>
    <w:p>
      <w:pPr>
        <w:ind w:left="760" w:hanging="361"/>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7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one of the means of direct issuance of offered securities, we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applicable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of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parties that in turn may sell the securities using this prospectus and an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securities issued upon a reopening of a previous series,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the validity of the Class A ordinary shares, to the extent governed by Cayman Islands law, will be passed upon by Conyers Dill &amp; Pearman, our legal counsel as to Cayman Islands law. The Company is represented by Loeb &amp; Loeb LLP with respect to United States federal securities and New York State law and is represented by Jingtian &amp; Gongcheng with respect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balance sheets of Ebang International Holdings Inc. as of December 31, 2025 and 2024, and the related financial statements for each of the years in the three-year period ended December 31, 2025, have been incorporated by reference herein and in the registration statement in reliance upon the report of MaloneBailey, LLP, an independent registered public accounting firm, appearing elsewhere herein, and upon the authority of said firm as experts in accounting and auditing. MaloneBailey, LLP has been our independent auditor since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business address of MaloneBailey, LLP is located at 10370 Richmond Avenue, Suite 600, Houston, TX 77042.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underwriting agreement entered into in connection with an offering of securities will also provide for indemnification of us and our officers and directors in certain cases.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on the Index to Exhibits to this Registration Statement, which Index to Exhibits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000" w:right="20" w:hanging="344"/>
        <w:spacing w:after="0" w:line="255" w:lineRule="auto"/>
        <w:tabs>
          <w:tab w:leader="none" w:pos="10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registration statement is on Form F-3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periodic reports filed with or furnished to the SEC by the registrant pursuant to Section 13 or Section 15(d) of the Securities Exchange Act of 1934, as amended, or Exchange Act, that are incorporated by reference in the registration statement, or is contained in a form of prospectus filed pursuant to Rule 424(b) that is part of the registration statement.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left="660" w:right="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Exchange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Exchange Act or Rule 3-19 of Regulation S-K if such financial statements and information are contained in periodic reports filed with or furnished to the SEC by the registrant pursuant to Section 13 or Section 15(d) of the Exchange Act that are incorporated by reference in this Form F-3.</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000" w:right="20" w:hanging="344"/>
        <w:spacing w:after="0" w:line="253"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5480" w:right="420" w:hanging="4811"/>
        <w:spacing w:after="0" w:line="814" w:lineRule="auto"/>
        <w:tabs>
          <w:tab w:leader="none" w:pos="9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1000" w:right="20" w:hanging="331"/>
        <w:spacing w:after="0" w:line="28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000" w:right="20" w:hanging="331"/>
        <w:spacing w:after="0" w:line="28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000" w:hanging="331"/>
        <w:spacing w:after="0"/>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2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3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section 310 of the Trust Indenture Act of 1939, as amended, or the Act, in accordance with the rules and regulations prescribed by the Commission under section 305(b)(2) of the Act.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2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Second Amended and Restated Memorandum of Association and Articles of Association of the Registrant, as currently in effect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(incorporated herein by reference to Exhibit 3.1 to the Report of Foreign Private Issuer on Form 6-K, furnished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Exchange Commission on December 22,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Description of Securities (incorporated herein by reference to Exhibit 2.5 to the Annual Report on Form 20-F for the fiscal year ended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2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December 31, 2025, filed with the Securities and Exchange Commission on April 24, 2026)</w:t>
              </w:r>
            </w:hyperlink>
          </w:p>
        </w:tc>
        <w:tc>
          <w:tcPr>
            <w:tcW w:w="3480" w:type="dxa"/>
            <w:vAlign w:val="bottom"/>
            <w:tcBorders>
              <w:top w:val="single" w:sz="8" w:color="0000EE"/>
              <w:bottom w:val="single" w:sz="8" w:color="CCEEFF"/>
              <w:right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Indenture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Subscription Rights Agreement (including form of Subscription Right Certificate)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 (including form of Unit Certificate)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Opinion of Conyers Dill &amp; Pearman regarding the validity of Class A ordinary shares and certain Cayman Islands legal matters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Loeb &amp; Loeb LLP regarding the enforceability of certain securities being registered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tcBorders>
          </w:tcPr>
          <w:p>
            <w:pPr>
              <w:spacing w:after="0"/>
              <w:rPr>
                <w:sz w:val="15"/>
                <w:szCs w:val="15"/>
                <w:color w:val="auto"/>
              </w:rPr>
            </w:pPr>
          </w:p>
        </w:tc>
        <w:tc>
          <w:tcPr>
            <w:tcW w:w="6860" w:type="dxa"/>
            <w:vAlign w:val="bottom"/>
            <w:tcBorders>
              <w:top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Consent of MaloneBailey, LLP, Independent Registered Public Accounting Firm</w:t>
              </w:r>
            </w:hyperlink>
          </w:p>
        </w:tc>
        <w:tc>
          <w:tcPr>
            <w:tcW w:w="3240" w:type="dxa"/>
            <w:vAlign w:val="bottom"/>
            <w:tcBorders>
              <w:top w:val="single" w:sz="8" w:color="CCEE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Consent of Conyers Dill &amp; Pearman (included in Exhibit 5.1)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Consent of Loeb &amp; Loeb LLP (included in Exhibit 5.2)</w:t>
            </w:r>
          </w:p>
        </w:tc>
        <w:tc>
          <w:tcPr>
            <w:tcW w:w="5680" w:type="dxa"/>
            <w:vAlign w:val="bottom"/>
            <w:tcBorders>
              <w:top w:val="single" w:sz="8" w:color="CCEE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Jingtian &amp; Gongcheng</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Powers of Attorney (included as part of signature page)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and Qualification under the Trust Indenture Act of 1939, as amended, of the Trustee under the Indenture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1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Filing Fee Table</w:t>
              </w:r>
            </w:hyperlink>
          </w:p>
        </w:tc>
        <w:tc>
          <w:tcPr>
            <w:tcW w:w="892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460" w:right="2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as an exhibit to a post-effective amendment to this Registration Statement or as an exhibit to a report filed under the Exchange Act and incorporated herein by reference, as appropriate.</w:t>
      </w: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jc w:val="both"/>
        <w:ind w:left="460" w:right="20" w:hanging="452"/>
        <w:spacing w:after="0" w:line="255"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or furnished pursuant to the Exchange Act of the Registrant and incorporated herein by reference. Form T-1 statements will be filed in accordance with the requirements of Section 305(b)(2) of the Trust Indenture Act of 1939 and Rule 5b-3 thereunder.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Irving, State of Texas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Dong Hu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Chief Executive Officer and Chief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Dong Hu</w:t>
            </w:r>
          </w:p>
        </w:tc>
        <w:tc>
          <w:tcPr>
            <w:tcW w:w="140" w:type="dxa"/>
            <w:vAlign w:val="bottom"/>
          </w:tcPr>
          <w:p>
            <w:pPr>
              <w:spacing w:after="0"/>
              <w:rPr>
                <w:sz w:val="24"/>
                <w:szCs w:val="24"/>
                <w:color w:val="auto"/>
              </w:rPr>
            </w:pPr>
          </w:p>
        </w:tc>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Chief Executive Officer and Chief Financial</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233"/>
        </w:trPr>
        <w:tc>
          <w:tcPr>
            <w:tcW w:w="39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Officer</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Dong Hu</w:t>
            </w:r>
          </w:p>
        </w:tc>
        <w:tc>
          <w:tcPr>
            <w:tcW w:w="140" w:type="dxa"/>
            <w:vAlign w:val="bottom"/>
          </w:tcPr>
          <w:p>
            <w:pPr>
              <w:spacing w:after="0"/>
              <w:rPr>
                <w:sz w:val="16"/>
                <w:szCs w:val="16"/>
                <w:color w:val="auto"/>
              </w:rPr>
            </w:pPr>
          </w:p>
        </w:tc>
        <w:tc>
          <w:tcPr>
            <w:tcW w:w="45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(principal executive officer, principal financial officer and</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w:t>
            </w:r>
          </w:p>
        </w:tc>
        <w:tc>
          <w:tcPr>
            <w:tcW w:w="140" w:type="dxa"/>
            <w:vAlign w:val="bottom"/>
          </w:tcPr>
          <w:p>
            <w:pPr>
              <w:spacing w:after="0"/>
              <w:rPr>
                <w:sz w:val="24"/>
                <w:szCs w:val="24"/>
                <w:color w:val="auto"/>
              </w:rPr>
            </w:pPr>
          </w:p>
        </w:tc>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Chunjuan Peng</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w:t>
            </w:r>
          </w:p>
        </w:tc>
        <w:tc>
          <w:tcPr>
            <w:tcW w:w="140" w:type="dxa"/>
            <w:vAlign w:val="bottom"/>
          </w:tcPr>
          <w:p>
            <w:pPr>
              <w:spacing w:after="0"/>
              <w:rPr>
                <w:sz w:val="24"/>
                <w:szCs w:val="24"/>
                <w:color w:val="auto"/>
              </w:rPr>
            </w:pPr>
          </w:p>
        </w:tc>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Yanqing Gao</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w:t>
            </w:r>
          </w:p>
        </w:tc>
        <w:tc>
          <w:tcPr>
            <w:tcW w:w="140" w:type="dxa"/>
            <w:vAlign w:val="bottom"/>
          </w:tcPr>
          <w:p>
            <w:pPr>
              <w:spacing w:after="0"/>
              <w:rPr>
                <w:sz w:val="24"/>
                <w:szCs w:val="24"/>
                <w:color w:val="auto"/>
              </w:rPr>
            </w:pPr>
          </w:p>
        </w:tc>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Tingjie Lyu</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w:t>
            </w:r>
          </w:p>
        </w:tc>
        <w:tc>
          <w:tcPr>
            <w:tcW w:w="140" w:type="dxa"/>
            <w:vAlign w:val="bottom"/>
          </w:tcPr>
          <w:p>
            <w:pPr>
              <w:spacing w:after="0"/>
              <w:rPr>
                <w:sz w:val="24"/>
                <w:szCs w:val="24"/>
                <w:color w:val="auto"/>
              </w:rPr>
            </w:pPr>
          </w:p>
        </w:tc>
        <w:tc>
          <w:tcPr>
            <w:tcW w:w="4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234"/>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Mingming Su</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Dong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Dong Hu, as attorney-in-fact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 xml:space="preserve">Direct </w:t>
      </w:r>
      <w:r>
        <w:rPr>
          <w:rFonts w:ascii="Times New Roman" w:cs="Times New Roman" w:eastAsia="Times New Roman" w:hAnsi="Times New Roman"/>
          <w:sz w:val="18"/>
          <w:szCs w:val="18"/>
          <w:color w:val="auto"/>
        </w:rPr>
        <w:t>212.407.4000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857250" cy="857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1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 xml:space="preserve">Main </w:t>
      </w:r>
      <w:r>
        <w:rPr>
          <w:rFonts w:ascii="Times New Roman" w:cs="Times New Roman" w:eastAsia="Times New Roman" w:hAnsi="Times New Roman"/>
          <w:sz w:val="18"/>
          <w:szCs w:val="18"/>
          <w:color w:val="auto"/>
        </w:rPr>
        <w:t>212.407.4000</w:t>
      </w:r>
    </w:p>
    <w:p>
      <w:pPr>
        <w:spacing w:after="0" w:line="9" w:lineRule="exact"/>
        <w:rPr>
          <w:sz w:val="20"/>
          <w:szCs w:val="20"/>
          <w:color w:val="auto"/>
        </w:rPr>
      </w:pPr>
    </w:p>
    <w:p>
      <w:pPr>
        <w:ind w:left="4280"/>
        <w:spacing w:after="0"/>
        <w:tabs>
          <w:tab w:leader="none" w:pos="8300" w:val="left"/>
        </w:tabs>
        <w:rPr>
          <w:sz w:val="20"/>
          <w:szCs w:val="20"/>
          <w:color w:val="auto"/>
        </w:rPr>
      </w:pPr>
      <w:r>
        <w:rPr>
          <w:rFonts w:ascii="Times New Roman" w:cs="Times New Roman" w:eastAsia="Times New Roman" w:hAnsi="Times New Roman"/>
          <w:sz w:val="18"/>
          <w:szCs w:val="18"/>
          <w:color w:val="auto"/>
        </w:rPr>
        <w:t>345 Park Avenue</w:t>
      </w:r>
      <w:r>
        <w:rPr>
          <w:sz w:val="20"/>
          <w:szCs w:val="20"/>
          <w:color w:val="auto"/>
        </w:rPr>
        <w:tab/>
      </w:r>
      <w:r>
        <w:rPr>
          <w:rFonts w:ascii="Times New Roman" w:cs="Times New Roman" w:eastAsia="Times New Roman" w:hAnsi="Times New Roman"/>
          <w:sz w:val="17"/>
          <w:szCs w:val="17"/>
          <w:b w:val="1"/>
          <w:bCs w:val="1"/>
          <w:color w:val="auto"/>
        </w:rPr>
        <w:t xml:space="preserve">Fax </w:t>
      </w:r>
      <w:r>
        <w:rPr>
          <w:rFonts w:ascii="Times New Roman" w:cs="Times New Roman" w:eastAsia="Times New Roman" w:hAnsi="Times New Roman"/>
          <w:sz w:val="17"/>
          <w:szCs w:val="17"/>
          <w:color w:val="auto"/>
        </w:rPr>
        <w:t>212.407.4990</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New York, NY 10154-1895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East John Carpenter Freeway, Suite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Irving, Texas 75062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securities counsel for Ebang International Holdings Inc., a Cayman Islands exempted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in connection with the preparation and filing by the Company of a registration statement on Form F-3 (including the prospectus constituting part thereof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to which this opinion letter has been filed as an exhibit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relating to the offer and sale by the Company from time to time, pursuant to Rule 415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of (i) Class A ordinary shares of par value HK$0.03 per share of the Company (the “</w:t>
      </w:r>
      <w:r>
        <w:rPr>
          <w:rFonts w:ascii="Times New Roman" w:cs="Times New Roman" w:eastAsia="Times New Roman" w:hAnsi="Times New Roman"/>
          <w:sz w:val="18"/>
          <w:szCs w:val="18"/>
          <w:b w:val="1"/>
          <w:bCs w:val="1"/>
          <w:u w:val="single" w:color="auto"/>
          <w:color w:val="auto"/>
        </w:rPr>
        <w:t>Class A Ordinary Shares</w:t>
      </w:r>
      <w:r>
        <w:rPr>
          <w:rFonts w:ascii="Times New Roman" w:cs="Times New Roman" w:eastAsia="Times New Roman" w:hAnsi="Times New Roman"/>
          <w:sz w:val="18"/>
          <w:szCs w:val="18"/>
          <w:color w:val="auto"/>
        </w:rPr>
        <w:t>”); (ii) debt securities that may include debt securities entitling the holders to convert or exchange, for redemption or purchase in extinguishment of debt, an amount of Class A Ordinary Shares at the conversion or exchange price or rate a price as set out in one or more indentures (the “</w:t>
      </w:r>
      <w:r>
        <w:rPr>
          <w:rFonts w:ascii="Times New Roman" w:cs="Times New Roman" w:eastAsia="Times New Roman" w:hAnsi="Times New Roman"/>
          <w:sz w:val="18"/>
          <w:szCs w:val="18"/>
          <w:b w:val="1"/>
          <w:bCs w:val="1"/>
          <w:u w:val="single" w:color="auto"/>
          <w:color w:val="auto"/>
        </w:rPr>
        <w:t>Debt Securities</w:t>
      </w:r>
      <w:r>
        <w:rPr>
          <w:rFonts w:ascii="Times New Roman" w:cs="Times New Roman" w:eastAsia="Times New Roman" w:hAnsi="Times New Roman"/>
          <w:sz w:val="18"/>
          <w:szCs w:val="18"/>
          <w:color w:val="auto"/>
        </w:rPr>
        <w:t>”); (iii) warrants to purchase Class A Ordinary Shares or Debt Securities as set out in in one or more warrant agreements relating to the warrants to be made between the Company and a bank or trust company, as warrant agent (the “</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both"/>
        <w:ind w:firstLine="8"/>
        <w:spacing w:after="0" w:line="252" w:lineRule="auto"/>
        <w:tabs>
          <w:tab w:leader="none" w:pos="3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Class A Ordinary Shares or Debt Securities as set out in one or more subscription rights agreements to be made between the Company and one or more subscription rights agents or directly by the Company (the “</w:t>
      </w:r>
      <w:r>
        <w:rPr>
          <w:rFonts w:ascii="Times New Roman" w:cs="Times New Roman" w:eastAsia="Times New Roman" w:hAnsi="Times New Roman"/>
          <w:sz w:val="18"/>
          <w:szCs w:val="18"/>
          <w:b w:val="1"/>
          <w:bCs w:val="1"/>
          <w:u w:val="single" w:color="auto"/>
          <w:color w:val="auto"/>
        </w:rPr>
        <w:t>Subscription Rights</w:t>
      </w:r>
      <w:r>
        <w:rPr>
          <w:rFonts w:ascii="Times New Roman" w:cs="Times New Roman" w:eastAsia="Times New Roman" w:hAnsi="Times New Roman"/>
          <w:sz w:val="18"/>
          <w:szCs w:val="18"/>
          <w:color w:val="auto"/>
        </w:rPr>
        <w:t>”); and (v) units as set out in one or more unit agreements to be made between the Company and one or more unit agents or directly by the Company consisting of any combination of Debt Securities, Warrants and/or Subscription Rights (the “</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The Class A Ordinary Shares, Debt Securities, Warrants, Subscription Rights and Units are collectively referred to herein as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The Securities being registered for sale by the Company are for a maximum aggregate offering price of $75,000,000. The Securities may be offered and sold from time to time pursuant to Rule 415 under the Securities Act, at which time it is contemplated that the Prospectus included in the Registration Statement will be supplemented by one or more prospectus supplements.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rendering our opinions set forth below, we have reviewed such corporate documents and records of the Company, such certificates of public officials and such other matters as we have deemed necessary or appropriate for purposes of this opinion letter. As to facts material to the opinions expressed herein, we have relied upon oral and written statements and representations of officers and other representatives of the Company. We also have assumed (a) the authenticity of all documents submitted to us as originals; (b) the conformity to the originals of all documents submitted to us as copies; (c) the genuineness of all signatures; (d) the legal capacity of natural persons; and (e) the truth, accuracy and completeness of the information, factual matters, representations and warranties contained in all of such documents.</w:t>
      </w:r>
    </w:p>
    <w:p>
      <w:pPr>
        <w:spacing w:after="0" w:line="187" w:lineRule="exact"/>
        <w:rPr>
          <w:sz w:val="20"/>
          <w:szCs w:val="20"/>
          <w:color w:val="auto"/>
        </w:rPr>
      </w:pPr>
    </w:p>
    <w:p>
      <w:pPr>
        <w:ind w:right="3280"/>
        <w:spacing w:after="0" w:line="282" w:lineRule="auto"/>
        <w:rPr>
          <w:sz w:val="20"/>
          <w:szCs w:val="20"/>
          <w:color w:val="auto"/>
        </w:rPr>
      </w:pPr>
      <w:r>
        <w:rPr>
          <w:rFonts w:ascii="Times New Roman" w:cs="Times New Roman" w:eastAsia="Times New Roman" w:hAnsi="Times New Roman"/>
          <w:sz w:val="18"/>
          <w:szCs w:val="18"/>
          <w:color w:val="auto"/>
        </w:rPr>
        <w:t>Los Angeles New York Chicago Nashville Washington, DC San Francisco Beijing Hong Kong www.loeb.com A limited liability partnership including professional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9750" cy="539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May 15,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such examination, and subject to the further assumptions, qualifications and limitations contained herein, it is our opinion that: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upon issuance and delivery of certificates (or book-entry notation if uncertificated) for such Debt Securities against payment therefor as set forth in the Registration Statement, Prospectus or a prospectus supplement, will constitute valid and binding obligations of the Company.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upon issuance and delivery of certificates (or book-entry notation if uncertificated) for such Warrants against payment therefor as set forth in the Registration Statement, Prospectus or a prospectus supplement, will constitute valid and binding obligations of the Company.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Rights, upon issuance and delivery of certificates (or book-entry notation if uncertificated) for such Subscription Rights against payment therefor as set forth in the Registration Statement, Prospectus or a prospectus supplement, will constitute valid and binding obligations of the Company.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upon issuance and delivery of certificates (or book-entry notation if uncertificated) for such Units against payment therefor as set forth in the Registration Statement, Prospectus or a prospectus supplement, will constitute valid and binding obligations of the Company.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foregoing opinions, we have assumed that: (i) the Registration Statement, and any amendments thereto, shall have become effective under the Securities Act and will remain effective at the time of issuance of any Securities thereunder; (ii) a prospectus supplement describing each class or series of Securities offered pursuant to the Registration Statement will be timely filed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(iii) the definitive terms of each class or series of Securities shall have been established in accordance with resolutions (each, a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Action</w:t>
      </w:r>
      <w:r>
        <w:rPr>
          <w:rFonts w:ascii="Times New Roman" w:cs="Times New Roman" w:eastAsia="Times New Roman" w:hAnsi="Times New Roman"/>
          <w:sz w:val="18"/>
          <w:szCs w:val="18"/>
          <w:color w:val="auto"/>
        </w:rPr>
        <w:t>”) duly adopted by the Board of Directors or an authorized committee thereof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the Company’s second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and articles of association (the “</w:t>
      </w:r>
      <w:r>
        <w:rPr>
          <w:rFonts w:ascii="Times New Roman" w:cs="Times New Roman" w:eastAsia="Times New Roman" w:hAnsi="Times New Roman"/>
          <w:sz w:val="18"/>
          <w:szCs w:val="18"/>
          <w:b w:val="1"/>
          <w:bCs w:val="1"/>
          <w:u w:val="single" w:color="auto"/>
          <w:color w:val="auto"/>
        </w:rPr>
        <w:t>Articles</w:t>
      </w:r>
      <w:r>
        <w:rPr>
          <w:rFonts w:ascii="Times New Roman" w:cs="Times New Roman" w:eastAsia="Times New Roman" w:hAnsi="Times New Roman"/>
          <w:sz w:val="18"/>
          <w:szCs w:val="18"/>
          <w:color w:val="auto"/>
        </w:rPr>
        <w:t>”), and applicable law; (iv) the Company will issue and deliver the Securities identified in any applicable prospectus supplement, in each case, in the manner contemplated by the Registration Statement, the Prospectus, the applicable prospectus supplement and any applicable underwriting or placement agreement; (v) the Board Action authorizing the Company to issue, offer and sell the Securities, at the prices set forth in the Registration Statement, Prospectus or a prospectus supplement, will have been adopted by the Board and will be in full force and effect at all times at which the Securities are offered or sold by the Company; and (vi) all Securities will be issued in compliance with applicable federal and state securities laws.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any Securities consisting of Debt Securities, we have further assumed that: (i) such Debt Securities shall have been issued pursuant to an indenture approved by us (individually, and as supplemented from time to time, an “</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 between the Company and a trustee to be identified in the applicable prospectus supplement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(ii) such Indenture shall have been duly authorized, executed and delivered on behalf of the Company; (iii) such Indenture shall be governed by the laws of the State of New York; (iv) all terms of such Debt Securities not provided for in such Indenture shall have been established in accordance with the provisions of the Indenture and reflected in appropriate documentation approved by us and, if applicable, executed and delivered by the Company and the Trustee; (v) such Debt Securities shall have been duly executed, authenticated, issued and delivered in accordance with the provisions of such Indenture; (vi) such Debt Securities, as executed and delivered, do not violate any law applicable to the Company or result in a default under or breach of any agreement or instrument binding upon the Company; and (vii) such Debt Securities, as executed and delivered, comply with all requirements and restrictions, if any, applicable to the Company, whether imposed by any court or governmental or regulatory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9750" cy="539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May 15,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the obligations of the Company under an Indenture may be dependent on such matters, we further have assumed for purposes of this opinion that the Trustee under each Indenture (i) is duly organized, validly existing and in good standing under the laws of its jurisdiction of organization; (ii) is duly qualified to engage in activities contemplated by such Indenture; (iii) has duly authorized, executed and delivered such Indenture, and such Indenture constitutes the legally valid and binding obligation of such Trustee, enforceable against such Trustee in accordance with its terms; (iv) is in compliance, with respect to acting as a trustee under such Indenture, with all applicable laws and regulations; and (v) has the requisite organizational and legal power and authority to perform its obligations under such Indenture.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any Securities consisting of Warrants, we have further assumed that (i) such Warrants shall have been issued pursuant to a warrant agreement approved by us (individually, a “</w:t>
      </w:r>
      <w:r>
        <w:rPr>
          <w:rFonts w:ascii="Times New Roman" w:cs="Times New Roman" w:eastAsia="Times New Roman" w:hAnsi="Times New Roman"/>
          <w:sz w:val="18"/>
          <w:szCs w:val="18"/>
          <w:b w:val="1"/>
          <w:bCs w:val="1"/>
          <w:u w:val="single" w:color="auto"/>
          <w:color w:val="auto"/>
        </w:rPr>
        <w:t>Warrant Agreement</w:t>
      </w:r>
      <w:r>
        <w:rPr>
          <w:rFonts w:ascii="Times New Roman" w:cs="Times New Roman" w:eastAsia="Times New Roman" w:hAnsi="Times New Roman"/>
          <w:sz w:val="18"/>
          <w:szCs w:val="18"/>
          <w:color w:val="auto"/>
        </w:rPr>
        <w:t>”) between the Company and the holder or beneficial owner or between the Company and a warrant agent to be identified in the applicable prospectus supplement (the “</w:t>
      </w: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(ii) such Warrant Agreement shall have been duly authorized, executed and delivered on behalf of the Company; (iii) such Warrant Agreement shall be governed by the laws of the State of New York; (iv) all terms of such Warrants shall have been established in accordance with the provisions of such Warrant Agreement(s); (v) such Warrants shall have been duly executed, issued and delivered in accordance with the provisions of such Warrant Agreement(s); (vi) such Warrants and the related Warrant Agreement(s), as executed and delivered, do not violate any law applicable to the Company or result in a default under or breach of any agreement or instrument binding upon the Company; and (vii) such Warrants and the related Warrant Agreement(s), as executed and delivered, comply with all requirements and restrictions, if any, applicable to the Company, in any case whether imposed by any court or governmental or regulatory body having jurisdiction over the Company.</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Warrants or Warrant Agreement may be dependent on such matters, we further have assumed for purposes of this opinion that the Warrant Agent under each Warrant Agreement (i) is duly organized, validly existing and in good standing under the laws of its jurisdiction of organization; (ii) is duly qualified to engage in the activities contemplated by such Warrant Agreement; (iii) has duly authorized, executed and delivered such Warrant Agreement, and such Warrant Agreement constitutes the legally valid and binding obligation of such Warrant Agent, enforceable against such Warrant Agent in accordance with its terms; (iv) is in compliance, with respect to acting as a Warrant Agent under such Warrant Agreement, with all applicable laws and regulations; and (v) has the requisite organizational and legal power and authority to perform its obligations under such Warrant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any Securities consisting of Subscription Rights, we have further assumed that (i) such Subscription Rights shall have been issued pursuant to a subscription rights agreement approved by us (individually, a “</w:t>
      </w:r>
      <w:r>
        <w:rPr>
          <w:rFonts w:ascii="Times New Roman" w:cs="Times New Roman" w:eastAsia="Times New Roman" w:hAnsi="Times New Roman"/>
          <w:sz w:val="18"/>
          <w:szCs w:val="18"/>
          <w:b w:val="1"/>
          <w:bCs w:val="1"/>
          <w:u w:val="single" w:color="auto"/>
          <w:color w:val="auto"/>
        </w:rPr>
        <w:t>Subscription Rights Agreement</w:t>
      </w:r>
      <w:r>
        <w:rPr>
          <w:rFonts w:ascii="Times New Roman" w:cs="Times New Roman" w:eastAsia="Times New Roman" w:hAnsi="Times New Roman"/>
          <w:sz w:val="18"/>
          <w:szCs w:val="18"/>
          <w:color w:val="auto"/>
        </w:rPr>
        <w:t>”) between the Company and a subscription rights agent to be identified in the applicable prospectus supplement (the “</w:t>
      </w:r>
      <w:r>
        <w:rPr>
          <w:rFonts w:ascii="Times New Roman" w:cs="Times New Roman" w:eastAsia="Times New Roman" w:hAnsi="Times New Roman"/>
          <w:sz w:val="18"/>
          <w:szCs w:val="18"/>
          <w:b w:val="1"/>
          <w:bCs w:val="1"/>
          <w:u w:val="single" w:color="auto"/>
          <w:color w:val="auto"/>
        </w:rPr>
        <w:t>Subscription Rights Agent</w:t>
      </w:r>
      <w:r>
        <w:rPr>
          <w:rFonts w:ascii="Times New Roman" w:cs="Times New Roman" w:eastAsia="Times New Roman" w:hAnsi="Times New Roman"/>
          <w:sz w:val="18"/>
          <w:szCs w:val="18"/>
          <w:color w:val="auto"/>
        </w:rPr>
        <w:t>”); (ii) such Subscription Rights Agreement shall have been duly authorized, executed and delivered on behalf of the Company; (iii) such Subscription Rights Agreement shall be governed by the laws of the State of New York; (iv) all terms of such Subscription Rights shall have been established in accordance with the provisions of such Subscription Rights Agreement(s); (v) such Subscription Rights shall have been duly executed, issued and delivered in accordance with the provisions of such Subscription Rights Agreement(s); (vi) such Subscription Rights and the related Subscription Rights Agreement(s), as executed and delivered, do not violate any law applicable to the Company or result in a default under or breach of any agreement or instrument binding upon the Company; and (vii) such Subscription Rights and the related Subscription Rights Agreement(s), as executed and delivered, comply with all requirements and restrictions, if any, applicable to the Company, in any case whether imposed by any court or governmental or regulatory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9750" cy="539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May 15,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Subscription Rights or Subscription Rights Agreement may be dependent on such matters, we further have assumed for purposes of this opinion that the Subscription Rights Agent under each Subscription Rights Agreement (i) is duly organized, validly existing and in good standing under the laws of its jurisdiction of organization; (ii) is duly qualified to engage in the activities contemplated by such Subscription Rights Agreement; (iii) has duly authorized, executed and delivered such Subscription Rights Agreement, and such Subscription Rights Agreement constitutes the legally valid and binding obligation of such Subscription Rights Agent, enforceable against such Subscription Rights Agent in accordance with its terms; (iv) is in compliance, with respect to acting as a Subscription Rights Agent under such Subscription Rights Agreement, with all applicable laws and regulations; and (v) has the requisite organizational and legal power and authority to perform its obligations under such Subscription Rights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Securities consisting of Units, we have further assumed that: (i) such Units shall have been issued pursuant to a unit agreement approved by us (individually, a “</w:t>
      </w:r>
      <w:r>
        <w:rPr>
          <w:rFonts w:ascii="Times New Roman" w:cs="Times New Roman" w:eastAsia="Times New Roman" w:hAnsi="Times New Roman"/>
          <w:sz w:val="18"/>
          <w:szCs w:val="18"/>
          <w:b w:val="1"/>
          <w:bCs w:val="1"/>
          <w:u w:val="single" w:color="auto"/>
          <w:color w:val="auto"/>
        </w:rPr>
        <w:t>Units Agreement</w:t>
      </w:r>
      <w:r>
        <w:rPr>
          <w:rFonts w:ascii="Times New Roman" w:cs="Times New Roman" w:eastAsia="Times New Roman" w:hAnsi="Times New Roman"/>
          <w:sz w:val="18"/>
          <w:szCs w:val="18"/>
          <w:color w:val="auto"/>
        </w:rPr>
        <w:t>”), which may be between the Company and a unit agent to be identified in the applicable prospectus supplement (a “</w:t>
      </w:r>
      <w:r>
        <w:rPr>
          <w:rFonts w:ascii="Times New Roman" w:cs="Times New Roman" w:eastAsia="Times New Roman" w:hAnsi="Times New Roman"/>
          <w:sz w:val="18"/>
          <w:szCs w:val="18"/>
          <w:b w:val="1"/>
          <w:bCs w:val="1"/>
          <w:u w:val="single" w:color="auto"/>
          <w:color w:val="auto"/>
        </w:rPr>
        <w:t>Unit Agent</w:t>
      </w:r>
      <w:r>
        <w:rPr>
          <w:rFonts w:ascii="Times New Roman" w:cs="Times New Roman" w:eastAsia="Times New Roman" w:hAnsi="Times New Roman"/>
          <w:sz w:val="18"/>
          <w:szCs w:val="18"/>
          <w:color w:val="auto"/>
        </w:rPr>
        <w:t>”); (ii) such Unit Agreement shall have been duly authorized, executed and delivered on behalf of the Company; (iii) such Unit Agreement shall be governed by the laws of the State of New York; (iv) all terms of such Units shall have been established in accordance with the provisions of such Unit Agreement; (v) such Units shall have been duly executed, issued and delivered in accordance with the provisions of such Unit Agreement; (vi) such Units and the related Unit Agreement, as executed and delivered, do not violate any law applicable to the Company or result in a default under or breach of any agreement or instrument binding upon the Company; and (vii) such Units and the related Unit Agreement(s), as executed and delivered, comply with all requirements and restrictions, if any, applicable to the Company, in any case whether imposed by any court or governmental or regulatory body having jurisdiction over the Company.</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To the extent that the obligations of the Company under any Units or Unit Agreement may be dependent on such matters, we further have assumed for purposes of this opinion that any Unit Agent under a Unit Agreement (i) is duly organized, validly existing and in good standing under the laws of its jurisdiction of organization; (ii) is duly qualified to engage in the activities contemplated by such Unit Agreement; (iii) has duly authorized, executed and delivered such Unit Agreement, and such Unit Agreement constitutes the legally valid and binding obligation of such Unit Agent, enforceable against such Unit Agent in accordance with its terms; (iv) is in compliance, with respect to acting as a Unit Agent under such Unit Agreement, with all applicable laws and regulations; and (v) has the requisite organizational and legal power and authority to perform its obligations under such Unit Agreement.</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opinions set forth in paragraphs 1 through 4 above are subject to the following exceptions, limitations and qualifications: (i) the effect of bankruptcy, insolvency, reorganization, arrangement, moratorium, fraudulent conveyance, fraudulent transfer and other similar laws relating to or affecting the rights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considered in a proceeding at law or in equity, and (iii) the effect of public policy considerations that may limit the rights of the parties to obtain further remedies, and (iv) that we express no opinion regarding provisions relating to choice of law, choice of venue, jurisdiction or waivers of jury trial, or any waiver of any usury defense.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disclaim any undertaking to advise you of any subsequent changes in the facts stated or assumed herein or any subsequent changes in applicable law that may come to our attention, and we have assumed that no change in the facts stated or assumed herein or in applicable law after the date hereof will affect adversely our ability to render an opinion letter after the date hereof (i) containing the same legal conclusions set forth herein and (ii) subject only to such (or fewer) assumptions, limitations and qualifications as are contained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express no opinion herein as to the law of any state or jurisdiction other than the laws of the State of New York. We do not purport to pass on any matter governed by the laws of the Cayman Islands. We are not rendering any opinion as to compliance with any federal or state antifraud law, rule, or regulation relating to securities, or to the sale or issuance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5.2 to the Registration Statement in accordance with the requirements of Item 601(b)(5) of Regulation S−K under the Securities Act and to the reference to our firm therein and in the Prospectus and any prospectus supplement under the caption “Legal Matters.” In giving such consent, we do not thereby admit that this firm is within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Loeb &amp; Loeb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156845</wp:posOffset>
            </wp:positionV>
            <wp:extent cx="2760345" cy="694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7603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Room 1401A, 03B, Tower 2, Phase 4, Kerry Center Qianhai, Qianhai Avenue, Qianhai Shenzhen-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Hongkong Cooperation Zone, Nanshan District, Shenzhen</w:t>
      </w:r>
    </w:p>
    <w:p>
      <w:pPr>
        <w:spacing w:after="0" w:line="9"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86-755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2155-7000 F: (86-755) 2155-7099</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Ebang International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East John Carpenter Freeway,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 Irving,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75062,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references to our firm’s name in Ebang International Holdings, Inc.’s FORM F-3, which will be filed with the Securities and Exchange Commission (the “SEC”). We also consent to the filing of this consent letter with the SEC as an exhibit to the FORM F-3.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97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5">
    <w:nsid w:val="1E7FF521"/>
    <w:multiLevelType w:val="hybridMultilevel"/>
    <w:lvl w:ilvl="0">
      <w:lvlJc w:val="left"/>
      <w:lvlText w:val="(%1)"/>
      <w:numFmt w:val="decimal"/>
      <w:start w:val="2"/>
    </w:lvl>
    <w:lvl w:ilvl="1">
      <w:lvlJc w:val="left"/>
      <w:lvlText w:val="(%2)"/>
      <w:numFmt w:val="lowerRoman"/>
      <w:start w:val="1"/>
    </w:lvl>
  </w:abstractNum>
  <w:abstractNum w:abstractNumId="26">
    <w:nsid w:val="7C3DBD3D"/>
    <w:multiLevelType w:val="hybridMultilevel"/>
    <w:lvl w:ilvl="0">
      <w:lvlJc w:val="left"/>
      <w:lvlText w:val="(%1)"/>
      <w:numFmt w:val="lowerRoman"/>
      <w:start w:val="1"/>
    </w:lvl>
  </w:abstractNum>
  <w:abstractNum w:abstractNumId="27">
    <w:nsid w:val="737B8DDC"/>
    <w:multiLevelType w:val="hybridMultilevel"/>
    <w:lvl w:ilvl="0">
      <w:lvlJc w:val="left"/>
      <w:lvlText w:val="%1"/>
      <w:numFmt w:val="upperLetter"/>
      <w:start w:val="1"/>
    </w:lvl>
    <w:lvl w:ilvl="1">
      <w:lvlJc w:val="left"/>
      <w:lvlText w:val="(%2)"/>
      <w:numFmt w:val="lowerRoman"/>
      <w:start w:val="2"/>
    </w:lvl>
  </w:abstractNum>
  <w:abstractNum w:abstractNumId="28">
    <w:nsid w:val="6CEAF087"/>
    <w:multiLevelType w:val="hybridMultilevel"/>
    <w:lvl w:ilvl="0">
      <w:lvlJc w:val="left"/>
      <w:lvlText w:val="(%1)"/>
      <w:numFmt w:val="upperLetter"/>
      <w:start w:val="2"/>
    </w:lvl>
    <w:lvl w:ilvl="1">
      <w:lvlJc w:val="left"/>
      <w:lvlText w:val="%2"/>
      <w:numFmt w:val="lowerRoman"/>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lowerRoman"/>
      <w:start w:val="4"/>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jpeg"/><Relationship Id="rId77" Type="http://schemas.openxmlformats.org/officeDocument/2006/relationships/image" Target="media/image62.png"/><Relationship Id="rId78" Type="http://schemas.openxmlformats.org/officeDocument/2006/relationships/image" Target="media/image63.jpeg"/><Relationship Id="rId79" Type="http://schemas.openxmlformats.org/officeDocument/2006/relationships/image" Target="media/image64.png"/><Relationship Id="rId80" Type="http://schemas.openxmlformats.org/officeDocument/2006/relationships/image" Target="media/image65.jpeg"/><Relationship Id="rId81" Type="http://schemas.openxmlformats.org/officeDocument/2006/relationships/image" Target="media/image66.png"/><Relationship Id="rId82" Type="http://schemas.openxmlformats.org/officeDocument/2006/relationships/image" Target="media/image67.jpeg"/><Relationship Id="rId83" Type="http://schemas.openxmlformats.org/officeDocument/2006/relationships/image" Target="media/image68.png"/><Relationship Id="rId84" Type="http://schemas.openxmlformats.org/officeDocument/2006/relationships/image" Target="media/image69.jpeg"/><Relationship Id="rId85" Type="http://schemas.openxmlformats.org/officeDocument/2006/relationships/image" Target="media/image70.png"/><Relationship Id="rId27" Type="http://schemas.openxmlformats.org/officeDocument/2006/relationships/hyperlink" Target="http://www.sec.gov/ix?doc=/Archives/edgar/data/1799290/000121390026047509/ea0286394-20f_ebang.htm" TargetMode="External"/><Relationship Id="rId28" Type="http://schemas.openxmlformats.org/officeDocument/2006/relationships/hyperlink" Target="https://www.sec.gov/Archives/edgar/data/1799290/000121390020015159/ea122998-8a12b_ebang.htm" TargetMode="External"/><Relationship Id="rId29" Type="http://schemas.openxmlformats.org/officeDocument/2006/relationships/hyperlink" Target="http://www.sec.gov/Archives/edgar/data/1799290/000121390026047509/ea028639401ex2-5.htm" TargetMode="External"/><Relationship Id="rId66" Type="http://schemas.openxmlformats.org/officeDocument/2006/relationships/hyperlink" Target="https://www.sec.gov/Archives/edgar/data/1799290/000121390021066799/ea152801ex3-1_ebang.htm" TargetMode="External"/><Relationship Id="rId67" Type="http://schemas.openxmlformats.org/officeDocument/2006/relationships/hyperlink" Target="http://www.sec.gov/Archives/edgar/data/1799290/000121390026047531/ea028666801ex5-1.htm" TargetMode="External"/><Relationship Id="rId68" Type="http://schemas.openxmlformats.org/officeDocument/2006/relationships/hyperlink" Target="https://www.sec.gov/Archives/edgar/data/1799290/000121390026047531/ea028666801ex23-1.htm" TargetMode="External"/><Relationship Id="rId69" Type="http://schemas.openxmlformats.org/officeDocument/2006/relationships/hyperlink" Target="https://www.sec.gov/Archives/edgar/data/1799290/000121390026047531/ea0286668-f3_ebanginter.htm#poa_001" TargetMode="External"/><Relationship Id="rId70" Type="http://schemas.openxmlformats.org/officeDocument/2006/relationships/hyperlink" Target="https://www.sec.gov/Archives/edgar/data/1799290/000121390026047531/ea028666801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2026-05-15T15:20:02Z</dcterms:created>
  <dcterms:modified xsi:type="dcterms:W3CDTF">2026-05-15T15:20:02Z</dcterms:modified>
</cp:coreProperties>
</file>