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April 24, 2026</w:t>
      </w:r>
    </w:p>
    <w:p>
      <w:pPr>
        <w:spacing w:after="0" w:line="25"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7400" w:type="dxa"/>
            <w:vAlign w:val="bottom"/>
            <w:gridSpan w:val="3"/>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UNITED STATES</w:t>
            </w:r>
          </w:p>
        </w:tc>
      </w:tr>
      <w:tr>
        <w:trPr>
          <w:trHeight w:val="170"/>
        </w:trPr>
        <w:tc>
          <w:tcPr>
            <w:tcW w:w="3880" w:type="dxa"/>
            <w:vAlign w:val="bottom"/>
          </w:tcPr>
          <w:p>
            <w:pPr>
              <w:spacing w:after="0"/>
              <w:rPr>
                <w:sz w:val="14"/>
                <w:szCs w:val="14"/>
                <w:color w:val="auto"/>
              </w:rPr>
            </w:pPr>
          </w:p>
        </w:tc>
        <w:tc>
          <w:tcPr>
            <w:tcW w:w="7400" w:type="dxa"/>
            <w:vAlign w:val="bottom"/>
            <w:gridSpan w:val="3"/>
          </w:tcPr>
          <w:p>
            <w:pPr>
              <w:jc w:val="center"/>
              <w:ind w:right="378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r>
      <w:tr>
        <w:trPr>
          <w:trHeight w:val="186"/>
        </w:trPr>
        <w:tc>
          <w:tcPr>
            <w:tcW w:w="3880" w:type="dxa"/>
            <w:vAlign w:val="bottom"/>
          </w:tcPr>
          <w:p>
            <w:pPr>
              <w:spacing w:after="0"/>
              <w:rPr>
                <w:sz w:val="16"/>
                <w:szCs w:val="16"/>
                <w:color w:val="auto"/>
              </w:rPr>
            </w:pPr>
          </w:p>
        </w:tc>
        <w:tc>
          <w:tcPr>
            <w:tcW w:w="7400" w:type="dxa"/>
            <w:vAlign w:val="bottom"/>
            <w:gridSpan w:val="3"/>
          </w:tcPr>
          <w:p>
            <w:pPr>
              <w:jc w:val="center"/>
              <w:ind w:right="3789"/>
              <w:spacing w:after="0"/>
              <w:rPr>
                <w:sz w:val="20"/>
                <w:szCs w:val="20"/>
                <w:color w:val="auto"/>
              </w:rPr>
            </w:pPr>
            <w:r>
              <w:rPr>
                <w:rFonts w:ascii="Times New Roman" w:cs="Times New Roman" w:eastAsia="Times New Roman" w:hAnsi="Times New Roman"/>
                <w:sz w:val="14"/>
                <w:szCs w:val="14"/>
                <w:b w:val="1"/>
                <w:bCs w:val="1"/>
                <w:color w:val="auto"/>
              </w:rPr>
              <w:t>Washington, D.C. 20549</w:t>
            </w:r>
          </w:p>
        </w:tc>
      </w:tr>
      <w:tr>
        <w:trPr>
          <w:trHeight w:val="172"/>
        </w:trPr>
        <w:tc>
          <w:tcPr>
            <w:tcW w:w="3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tcPr>
          <w:p>
            <w:pPr>
              <w:spacing w:after="0"/>
              <w:rPr>
                <w:sz w:val="14"/>
                <w:szCs w:val="14"/>
                <w:color w:val="auto"/>
              </w:rPr>
            </w:pPr>
          </w:p>
        </w:tc>
      </w:tr>
      <w:tr>
        <w:trPr>
          <w:trHeight w:val="351"/>
        </w:trPr>
        <w:tc>
          <w:tcPr>
            <w:tcW w:w="3880" w:type="dxa"/>
            <w:vAlign w:val="bottom"/>
          </w:tcPr>
          <w:p>
            <w:pPr>
              <w:spacing w:after="0"/>
              <w:rPr>
                <w:sz w:val="24"/>
                <w:szCs w:val="24"/>
                <w:color w:val="auto"/>
              </w:rPr>
            </w:pPr>
          </w:p>
        </w:tc>
        <w:tc>
          <w:tcPr>
            <w:tcW w:w="7400" w:type="dxa"/>
            <w:vAlign w:val="bottom"/>
            <w:gridSpan w:val="3"/>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FORM F-3</w:t>
            </w:r>
          </w:p>
        </w:tc>
      </w:tr>
      <w:tr>
        <w:trPr>
          <w:trHeight w:val="172"/>
        </w:trPr>
        <w:tc>
          <w:tcPr>
            <w:tcW w:w="3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tcPr>
          <w:p>
            <w:pPr>
              <w:spacing w:after="0"/>
              <w:rPr>
                <w:sz w:val="14"/>
                <w:szCs w:val="14"/>
                <w:color w:val="auto"/>
              </w:rPr>
            </w:pPr>
          </w:p>
        </w:tc>
      </w:tr>
      <w:tr>
        <w:trPr>
          <w:trHeight w:val="333"/>
        </w:trPr>
        <w:tc>
          <w:tcPr>
            <w:tcW w:w="3880" w:type="dxa"/>
            <w:vAlign w:val="bottom"/>
          </w:tcPr>
          <w:p>
            <w:pPr>
              <w:spacing w:after="0"/>
              <w:rPr>
                <w:sz w:val="24"/>
                <w:szCs w:val="24"/>
                <w:color w:val="auto"/>
              </w:rPr>
            </w:pPr>
          </w:p>
        </w:tc>
        <w:tc>
          <w:tcPr>
            <w:tcW w:w="7400" w:type="dxa"/>
            <w:vAlign w:val="bottom"/>
            <w:gridSpan w:val="3"/>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w w:val="99"/>
              </w:rPr>
              <w:t>REGISTRATION STATEMENT</w:t>
            </w:r>
          </w:p>
        </w:tc>
      </w:tr>
      <w:tr>
        <w:trPr>
          <w:trHeight w:val="170"/>
        </w:trPr>
        <w:tc>
          <w:tcPr>
            <w:tcW w:w="3880" w:type="dxa"/>
            <w:vAlign w:val="bottom"/>
          </w:tcPr>
          <w:p>
            <w:pPr>
              <w:spacing w:after="0"/>
              <w:rPr>
                <w:sz w:val="14"/>
                <w:szCs w:val="14"/>
                <w:color w:val="auto"/>
              </w:rPr>
            </w:pPr>
          </w:p>
        </w:tc>
        <w:tc>
          <w:tcPr>
            <w:tcW w:w="7400" w:type="dxa"/>
            <w:vAlign w:val="bottom"/>
            <w:gridSpan w:val="3"/>
          </w:tcPr>
          <w:p>
            <w:pPr>
              <w:jc w:val="center"/>
              <w:ind w:right="378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tc>
      </w:tr>
      <w:tr>
        <w:trPr>
          <w:trHeight w:val="188"/>
        </w:trPr>
        <w:tc>
          <w:tcPr>
            <w:tcW w:w="3880" w:type="dxa"/>
            <w:vAlign w:val="bottom"/>
          </w:tcPr>
          <w:p>
            <w:pPr>
              <w:spacing w:after="0"/>
              <w:rPr>
                <w:sz w:val="16"/>
                <w:szCs w:val="16"/>
                <w:color w:val="auto"/>
              </w:rPr>
            </w:pPr>
          </w:p>
        </w:tc>
        <w:tc>
          <w:tcPr>
            <w:tcW w:w="7400" w:type="dxa"/>
            <w:vAlign w:val="bottom"/>
            <w:gridSpan w:val="3"/>
          </w:tcPr>
          <w:p>
            <w:pPr>
              <w:jc w:val="center"/>
              <w:ind w:right="378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tc>
      </w:tr>
      <w:tr>
        <w:trPr>
          <w:trHeight w:val="172"/>
        </w:trPr>
        <w:tc>
          <w:tcPr>
            <w:tcW w:w="3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tcPr>
          <w:p>
            <w:pPr>
              <w:spacing w:after="0"/>
              <w:rPr>
                <w:sz w:val="14"/>
                <w:szCs w:val="14"/>
                <w:color w:val="auto"/>
              </w:rPr>
            </w:pPr>
          </w:p>
        </w:tc>
      </w:tr>
      <w:tr>
        <w:trPr>
          <w:trHeight w:val="335"/>
        </w:trPr>
        <w:tc>
          <w:tcPr>
            <w:tcW w:w="3880" w:type="dxa"/>
            <w:vAlign w:val="bottom"/>
          </w:tcPr>
          <w:p>
            <w:pPr>
              <w:spacing w:after="0"/>
              <w:rPr>
                <w:sz w:val="24"/>
                <w:szCs w:val="24"/>
                <w:color w:val="auto"/>
              </w:rPr>
            </w:pPr>
          </w:p>
        </w:tc>
        <w:tc>
          <w:tcPr>
            <w:tcW w:w="7400" w:type="dxa"/>
            <w:vAlign w:val="bottom"/>
            <w:gridSpan w:val="3"/>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Ebang International Holdings Inc.</w:t>
            </w:r>
          </w:p>
        </w:tc>
      </w:tr>
      <w:tr>
        <w:trPr>
          <w:trHeight w:val="186"/>
        </w:trPr>
        <w:tc>
          <w:tcPr>
            <w:tcW w:w="3880" w:type="dxa"/>
            <w:vAlign w:val="bottom"/>
          </w:tcPr>
          <w:p>
            <w:pPr>
              <w:spacing w:after="0"/>
              <w:rPr>
                <w:sz w:val="16"/>
                <w:szCs w:val="16"/>
                <w:color w:val="auto"/>
              </w:rPr>
            </w:pPr>
          </w:p>
        </w:tc>
        <w:tc>
          <w:tcPr>
            <w:tcW w:w="7400" w:type="dxa"/>
            <w:vAlign w:val="bottom"/>
            <w:gridSpan w:val="3"/>
          </w:tcPr>
          <w:p>
            <w:pPr>
              <w:jc w:val="center"/>
              <w:ind w:right="378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72"/>
        </w:trPr>
        <w:tc>
          <w:tcPr>
            <w:tcW w:w="3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tcPr>
          <w:p>
            <w:pPr>
              <w:spacing w:after="0"/>
              <w:rPr>
                <w:sz w:val="14"/>
                <w:szCs w:val="14"/>
                <w:color w:val="auto"/>
              </w:rPr>
            </w:pPr>
          </w:p>
        </w:tc>
      </w:tr>
      <w:tr>
        <w:trPr>
          <w:trHeight w:val="335"/>
        </w:trPr>
        <w:tc>
          <w:tcPr>
            <w:tcW w:w="3880" w:type="dxa"/>
            <w:vAlign w:val="bottom"/>
          </w:tcPr>
          <w:p>
            <w:pPr>
              <w:spacing w:after="0"/>
              <w:rPr>
                <w:sz w:val="24"/>
                <w:szCs w:val="24"/>
                <w:color w:val="auto"/>
              </w:rPr>
            </w:pPr>
          </w:p>
        </w:tc>
        <w:tc>
          <w:tcPr>
            <w:tcW w:w="7400" w:type="dxa"/>
            <w:vAlign w:val="bottom"/>
            <w:gridSpan w:val="3"/>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86"/>
        </w:trPr>
        <w:tc>
          <w:tcPr>
            <w:tcW w:w="3880" w:type="dxa"/>
            <w:vAlign w:val="bottom"/>
          </w:tcPr>
          <w:p>
            <w:pPr>
              <w:spacing w:after="0"/>
              <w:rPr>
                <w:sz w:val="16"/>
                <w:szCs w:val="16"/>
                <w:color w:val="auto"/>
              </w:rPr>
            </w:pPr>
          </w:p>
        </w:tc>
        <w:tc>
          <w:tcPr>
            <w:tcW w:w="7400" w:type="dxa"/>
            <w:vAlign w:val="bottom"/>
            <w:gridSpan w:val="3"/>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tc>
      </w:tr>
      <w:tr>
        <w:trPr>
          <w:trHeight w:val="343"/>
        </w:trPr>
        <w:tc>
          <w:tcPr>
            <w:tcW w:w="3880" w:type="dxa"/>
            <w:vAlign w:val="bottom"/>
            <w:tcBorders>
              <w:bottom w:val="single" w:sz="8" w:color="auto"/>
            </w:tcBorders>
          </w:tcPr>
          <w:p>
            <w:pPr>
              <w:jc w:val="center"/>
              <w:ind w:left="1589"/>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1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54"/>
        </w:trPr>
        <w:tc>
          <w:tcPr>
            <w:tcW w:w="3880" w:type="dxa"/>
            <w:vAlign w:val="bottom"/>
          </w:tcPr>
          <w:p>
            <w:pPr>
              <w:jc w:val="center"/>
              <w:ind w:left="1569"/>
              <w:spacing w:after="0" w:line="154"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52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3880" w:type="dxa"/>
            <w:vAlign w:val="bottom"/>
          </w:tcPr>
          <w:p>
            <w:pPr>
              <w:jc w:val="center"/>
              <w:ind w:left="156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25"/>
        </w:trPr>
        <w:tc>
          <w:tcPr>
            <w:tcW w:w="3880" w:type="dxa"/>
            <w:vAlign w:val="bottom"/>
          </w:tcPr>
          <w:p>
            <w:pPr>
              <w:spacing w:after="0"/>
              <w:rPr>
                <w:sz w:val="24"/>
                <w:szCs w:val="24"/>
                <w:color w:val="auto"/>
              </w:rPr>
            </w:pPr>
          </w:p>
        </w:tc>
        <w:tc>
          <w:tcPr>
            <w:tcW w:w="7400" w:type="dxa"/>
            <w:vAlign w:val="bottom"/>
            <w:gridSpan w:val="3"/>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600 East John Carpenter Freeway, Suite 110</w:t>
            </w:r>
          </w:p>
        </w:tc>
      </w:tr>
      <w:tr>
        <w:trPr>
          <w:trHeight w:val="170"/>
        </w:trPr>
        <w:tc>
          <w:tcPr>
            <w:tcW w:w="3880" w:type="dxa"/>
            <w:vAlign w:val="bottom"/>
          </w:tcPr>
          <w:p>
            <w:pPr>
              <w:spacing w:after="0"/>
              <w:rPr>
                <w:sz w:val="14"/>
                <w:szCs w:val="14"/>
                <w:color w:val="auto"/>
              </w:rPr>
            </w:pPr>
          </w:p>
        </w:tc>
        <w:tc>
          <w:tcPr>
            <w:tcW w:w="7400" w:type="dxa"/>
            <w:vAlign w:val="bottom"/>
            <w:gridSpan w:val="3"/>
          </w:tcPr>
          <w:p>
            <w:pPr>
              <w:jc w:val="center"/>
              <w:ind w:right="3789"/>
              <w:spacing w:after="0"/>
              <w:rPr>
                <w:sz w:val="20"/>
                <w:szCs w:val="20"/>
                <w:color w:val="auto"/>
              </w:rPr>
            </w:pPr>
            <w:r>
              <w:rPr>
                <w:rFonts w:ascii="Times New Roman" w:cs="Times New Roman" w:eastAsia="Times New Roman" w:hAnsi="Times New Roman"/>
                <w:sz w:val="14"/>
                <w:szCs w:val="14"/>
                <w:b w:val="1"/>
                <w:bCs w:val="1"/>
                <w:color w:val="auto"/>
              </w:rPr>
              <w:t>Irving, Texas 75062</w:t>
            </w:r>
          </w:p>
        </w:tc>
      </w:tr>
      <w:tr>
        <w:trPr>
          <w:trHeight w:val="186"/>
        </w:trPr>
        <w:tc>
          <w:tcPr>
            <w:tcW w:w="3880" w:type="dxa"/>
            <w:vAlign w:val="bottom"/>
          </w:tcPr>
          <w:p>
            <w:pPr>
              <w:spacing w:after="0"/>
              <w:rPr>
                <w:sz w:val="16"/>
                <w:szCs w:val="16"/>
                <w:color w:val="auto"/>
              </w:rPr>
            </w:pPr>
          </w:p>
        </w:tc>
        <w:tc>
          <w:tcPr>
            <w:tcW w:w="7400" w:type="dxa"/>
            <w:vAlign w:val="bottom"/>
            <w:gridSpan w:val="3"/>
          </w:tcPr>
          <w:p>
            <w:pPr>
              <w:jc w:val="center"/>
              <w:ind w:right="3809"/>
              <w:spacing w:after="0"/>
              <w:rPr>
                <w:sz w:val="20"/>
                <w:szCs w:val="20"/>
                <w:color w:val="auto"/>
              </w:rPr>
            </w:pPr>
            <w:r>
              <w:rPr>
                <w:rFonts w:ascii="Times New Roman" w:cs="Times New Roman" w:eastAsia="Times New Roman" w:hAnsi="Times New Roman"/>
                <w:sz w:val="14"/>
                <w:szCs w:val="14"/>
                <w:b w:val="1"/>
                <w:bCs w:val="1"/>
                <w:color w:val="auto"/>
              </w:rPr>
              <w:t>(972) 689-1452</w:t>
            </w:r>
          </w:p>
        </w:tc>
      </w:tr>
    </w:tbl>
    <w:p>
      <w:pPr>
        <w:jc w:val="center"/>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Dong Hu</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600 East John Carpenter Freeway, Suite 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Irving, Texas 75062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(972) 689-1452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Giovanni Caruso, Esq.</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Hermione M. Krumm, Esq.</w:t>
      </w:r>
      <w:r>
        <w:rPr>
          <w:rFonts w:ascii="Times New Roman" w:cs="Times New Roman" w:eastAsia="Times New Roman" w:hAnsi="Times New Roman"/>
          <w:sz w:val="14"/>
          <w:szCs w:val="14"/>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NY 10154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407-4000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5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11"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6"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6"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6"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14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1"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7(a)(2)(B) of the Securities Act.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The term “new or revised financial accounting standard” refers to any update issued by the Financial Accounting Standards Board to its Accounting Standards Codification after April 5, 2012.</w:t>
      </w:r>
    </w:p>
    <w:p>
      <w:pPr>
        <w:spacing w:after="0" w:line="178"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344805</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This registration statement on Form F-3 (this “Registration Statement”) is being filed by Ebang International Holdings Inc. (the “Company”) pursuant to Rule 415(a)(6) under the Securities Act of 1933, as amended (the “Securities Act”), to replace the Company’s registration statement on Form F-3 (File No. 333-271512), filed with the Securities and Exchange Commission on April 28, 2023 (the “Expiring Registration Statement”), which is due to expire on June 14, 2026.</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Pursuant to Rule 415(a)(5)(ii) under the Securities Act, by filing this Registration Statement, the Company may issue and sell securities covered by the Expiring Registration Statement until the earlier of the effective date of this Registration Statement or 180 days after June 14, 2026. Pursuant to Rule 415(a)(6) under the Securities Act, we are registering on this Registration Statement an aggregate of $75,000,000 of unsold securities (the “Unsold Securities”) previously registered under the Expiring Registration Statement to be offered, issued and sold by the Company. In accordance with Rule 415(a)(6), the effectiveness of this Registration Statement will be deemed to terminate the Expiring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2" w:name="page3"/>
    <w:bookmarkEnd w:id="2"/>
    <w:p>
      <w:pPr>
        <w:jc w:val="both"/>
        <w:spacing w:after="0" w:line="292"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19" w:lineRule="exact"/>
        <w:rPr>
          <w:sz w:val="20"/>
          <w:szCs w:val="20"/>
          <w:color w:val="auto"/>
        </w:rPr>
      </w:pPr>
    </w:p>
    <w:p>
      <w:pPr>
        <w:spacing w:after="0"/>
        <w:tabs>
          <w:tab w:leader="none" w:pos="4680" w:val="left"/>
          <w:tab w:leader="none" w:pos="8720" w:val="left"/>
        </w:tabs>
        <w:rPr>
          <w:sz w:val="20"/>
          <w:szCs w:val="20"/>
          <w:color w:val="auto"/>
        </w:rPr>
      </w:pPr>
      <w:r>
        <w:rPr>
          <w:rFonts w:ascii="Times New Roman" w:cs="Times New Roman" w:eastAsia="Times New Roman" w:hAnsi="Times New Roman"/>
          <w:sz w:val="14"/>
          <w:szCs w:val="14"/>
          <w:b w:val="1"/>
          <w:bCs w:val="1"/>
          <w:color w:val="FF0000"/>
        </w:rPr>
        <w:t>PRELIMINARY PROSPECTUS</w:t>
      </w:r>
      <w:r>
        <w:rPr>
          <w:sz w:val="20"/>
          <w:szCs w:val="20"/>
          <w:color w:val="auto"/>
        </w:rPr>
        <w:tab/>
      </w:r>
      <w:r>
        <w:rPr>
          <w:rFonts w:ascii="Times New Roman" w:cs="Times New Roman" w:eastAsia="Times New Roman" w:hAnsi="Times New Roman"/>
          <w:sz w:val="14"/>
          <w:szCs w:val="14"/>
          <w:b w:val="1"/>
          <w:bCs w:val="1"/>
          <w:color w:val="FF0000"/>
        </w:rPr>
        <w:t>SUBJECT TO COMPLETION</w:t>
      </w:r>
      <w:r>
        <w:rPr>
          <w:sz w:val="20"/>
          <w:szCs w:val="20"/>
          <w:color w:val="auto"/>
        </w:rPr>
        <w:tab/>
      </w:r>
      <w:r>
        <w:rPr>
          <w:rFonts w:ascii="Times New Roman" w:cs="Times New Roman" w:eastAsia="Times New Roman" w:hAnsi="Times New Roman"/>
          <w:sz w:val="13"/>
          <w:szCs w:val="13"/>
          <w:b w:val="1"/>
          <w:bCs w:val="1"/>
          <w:color w:val="FF0000"/>
        </w:rPr>
        <w:t>DATED April 24,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Ebang International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124460</wp:posOffset>
            </wp:positionV>
            <wp:extent cx="1028065" cy="243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065" cy="24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US$75,000,000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 Shares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may offer and sell from time to time our Class A ordinary shares, HK$0.03 par value per share (“Class A ordinary shares”), debt securities, warrants, subscription rights and units of Ebang International Holdings Inc. in any combination from time to time in one or more offerings, at prices and on terms described in one or more supplements to this prospectus. The securities offered by this prospectus will have an aggregate offering price of up to US$75,000,000. Such debt securities, warrants, subscription rights and units may be convertible into or exercisable or exchangeable for our Class A ordinary shares or our other securities. This prospectus provides you with a general description of the securities that we may offer.</w:t>
      </w:r>
    </w:p>
    <w:p>
      <w:pPr>
        <w:spacing w:after="0" w:line="1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Each time we sell our securities hereunder, we will provide a supplement to this prospectus that contains specific information about the offering and the terms of such securities. The supplement may also add, update or change information contained in this prospectus. You should carefully read this prospectus and any prospectus supplement before you invest in any of our securities.</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may sell our securities independently or together with any other securities registered hereunder through one or more underwriters, dealers and agents, or directly to purchasers, or through a combination of these methods, on a continuous or delayed basis. See “Plan of Distribution.” If any underwriters, dealers or agents are involved in the sale of any of such securities, their names, and any applicable purchase price, fee, commission or discount arrangements between or among them, will be set forth, or will be calculable from the information set forth, in the applicable prospectus supplement.</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Class A ordinary shares are listed on the Nasdaq Global Select Market (“Nasdaq”) under the symbol “EBON.” On April 23, 2026, the last reported sale price of our Class A ordinary shares on Nasdaq was $2.58 per share. The aggregate market value of our outstanding Class A ordinary shares held by non-affiliates is approximately $13,731,610.81, based on 4,989,746.22 Class A ordinary shares issued and outstanding on April 24, 2026 of which 4,957,260.22 Class A ordinary shares are held by non-affiliates, and a per share price of $2.77 based on the closing sale price of our Class A ordinary shares on April 21, 2026 which was the highest closing sale price of our Class A ordinary shares on Nasdaq, within sixty (60) days of the filing date of this Registration Statement. We have not sold any securities pursuant to General Instruction I.B.5 of Form F-3 during the prior twelve (12) calendar month period that ends on and includes the date of this prospectus. Pursuant to General Instruction I.B.5 of Form F-3, in no event will we sell securities registered on this Registration Statement in a public primary offering with a value exceeding more than one-third of our public float in any 12-month period so long as our public float remains below $75.0 million. The applicable prospectus supplement will contain information, where applicable, as to the listing, if any, on Nasdaq or any other securities market or other securities exchange of the securities covered by such prospectus supplement.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references on this prospectus cover pages to “we,” “us”, “our” and “Ebang” refer to Ebang International Holdings Inc.</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the “Risk Factors” section contained in our Annual Report on Form 20-F for the fiscal year ended December 31, 2025, filed with the U.S. Securities and Exchange Commission (the “SEC”) on April 24, 2026 and incorporated by reference herein (the “Annual Report”), the applicable prospectus supplement, any related free writing prospectus and the documents we incorporate by reference in this prospectus to read about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 w:name="page4"/>
    <w:bookmarkEnd w:id="3"/>
    <w:p>
      <w:pPr>
        <w:jc w:val="both"/>
        <w:spacing w:after="0" w:line="259" w:lineRule="auto"/>
        <w:rPr>
          <w:sz w:val="20"/>
          <w:szCs w:val="20"/>
          <w:color w:val="auto"/>
        </w:rPr>
      </w:pPr>
      <w:r>
        <w:rPr>
          <w:rFonts w:ascii="Times New Roman" w:cs="Times New Roman" w:eastAsia="Times New Roman" w:hAnsi="Times New Roman"/>
          <w:sz w:val="14"/>
          <w:szCs w:val="14"/>
          <w:b w:val="1"/>
          <w:bCs w:val="1"/>
          <w:color w:val="auto"/>
        </w:rPr>
        <w:t>We are a Cayman Islands holding company and conduct all of our operations through our operating subsidiaries. Investors in our shares are not purchasing equity securities of our operating subsidiaries but instead are purchasing equity securities of a Cayman Islands holding company. Ebang does not conduct its business through the variable interest entity (“VIE”) structure. As we have PRC operating subsidiaries, we face various legal and operational risks and uncertainties related to doing business in China. Since the PRC legal system continues to evolve, there are changes from time to time arising from the legal system in China, which include uncertainties regarding new legislation, regulations or interpretations governing our business activities, which may be promulgated or adopted; there is a risk that the Chinese government may intervene or influence our operations at any time, or may exert more control over offerings conducted in Hong Kong and overseas, which could result in substantial costs and divert our resources and the attention of our management; we also face risks associated with regulatory approvals on offerings conducted overseas and foreign investment in China-based issuers, anti-monopoly regulatory actions, and oversight on cybersecurity and data privacy failure to comply with such laws and regulations may negatively impact our ability to conduct certain businesses, access foreign investments, or list on a foreign stock exchange.</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color w:val="auto"/>
        </w:rPr>
        <w:t>In addition, in connection with our previous issuance of securities to foreign investors, under current PRC laws, regulations and regulatory rules, as of the date of this prospectus, we and our PRC subsidiaries, (i) are not required to obtain permissions from the China Securities Regulatory Commission (the “CSRC”), (ii) are not required to go through cybersecurity review by the Cyberspace Administration of China (the “CAC”), and (iii) have not been asked to obtain or were denied such permissions by any PRC authority. However, the PRC government has recently indicated an intent to exert more oversight and control over offerings that are conducted overseas and/or foreign investment in China-based issuers. For more detailed information, see the section of the risk factors included in our Annual Report incorporated by reference herein, entitled “Item 3.D. Key Information—Risk Factors—Risks Relating to Conducting Business in China—We may be required to obtain approval or subject to filings or other requirements from the CSRC or other PRC regulatory authorities in connection with our offshore offerings under PRC law, and we cannot predict whether we will be able to or how long it will take to complete such filings.”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color w:val="auto"/>
        </w:rPr>
        <w:t>Furthermore, as more stringent criteria have been imposed by the SEC and the Public Company Accounting Oversight Board (the “PCAOB”) recently, our securities may be prohibited from trading on a national exchange or over-the-counter under the Holding Foreign Companies Accountable Act (the “HFCAA”) and related regulations, if the PCAOB is unable to inspect our auditors for two consecutive years beginning in 2022. As a result, an exchange may determine to delist our securities. The PCAOB issued a Determination Report on December 16, 2021 which found that the PCAOB was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Furthermore, the PCAOB’s report identified the specific registered public accounting firms which were subject to these determinations. On December 29, 2022, legislation entitled “Consolidated Appropriations Act, 2023” (the “Consolidated Appropriations Act”), was signed into law, which reduces the number of consecutive non- inspection years required for triggering the prohibitions under the Holding Foreign Companies Accountable Act from three years to two.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it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Our financial statements have been audited by an independent registered public accounting firm that is headquartered in the United States who is subject to laws in the United States pursuant to which the PCAOB conducts regular inspections to assess an auditor’s compliance with the applicable professional standards, and has been inspected by the PCAOB on a regular basis. Our auditor is not among the PCAOB-registered public accounting firms headquartered in the PRC or Hong Kong that are subject to PCAOB’s determination on December 16, 2021 of having been unable to inspect or investigate completely. As of the date of this prospectus, we have not been identified by the SEC as a commission-identified issuer under the HFCAA. However, there is a risk that our auditor cannot be inspected by the PCAOB in the future. The lack of inspection could cause trading in our securities to be prohibited under the HFCAA, and, as a result, The Nasdaq Stock Market LLC (“Nasdaq”) may determine to delist our securities, which may cause the value of our securities to decline or become worthless. See the risks disclosed in our Annual Report under “Item 3.D. Key Information—Risk Factors—Risks Relating to Conducting Business in China— Although the financial statements contained in this annual report were issued by U.S. auditors who are currently inspected by the PCAOB, if it is later determined that the PCAOB is unable to inspect or investigate our auditor completely, investors would be deprived of the benefits of such inspection and our Class A ordinary shares may be delisted or prohibited from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As a Cayman Islands holding company, Ebang relies on dividends and other distributions on equity paid by its operating subsidiaries for cash and financing requirements, including the funds necessary to pay dividends and other cash distributions to its shareholders or to service any expenses it may incur. Our subsidiaries’, including PRC subsidiaries’, ability to distribute dividends is based upon their distributable earnings. Current PRC regulations permit our PRC subsidiaries to pay dividends to their respective shareholders only out of their accumulated profits, if any, as determined in accordance with PRC accounting standards and regulations. In addition, under PRC law, each of our PRC subsidiaries is required to set aside at least 10% of its after-tax profits each year, if any, to fund certain statutory reserve funds until such reserve funds reach 50% of its registered capital. The after-tax profits shall be used to cover the loss that the PRC subsidiaries made in a previous financial year before any statutory reserve is drawn therefrom, if the statutory reserve is insufficient to cover such loss. These reserves are not distributable as cash dividends. If each of our PRC subsidiaries incurs debt on its own behalf in the future, the instruments governing such debt may restrict its ability to pay dividends to Ebang. According to the relevant PRC regulations on Foreign Exchange Administration of the Overseas Direct Investment of Domestic Institutions, the operating subsidiaries of Ebang who remit dividends to Ebang shall, on the basis of the approval document issued by the competent administrative department of overseas direct investment (the State Administration of Foreign Exchange of the PRC (“SAFE”) and its branch offices) and the foreign exchange registration certificate for overseas direct investment, handle the formalities for the outward remittance of funds for overseas direct investment at a designated foreign exchange bank. The designated foreign exchange bank shall handle the formalities for the domestic institution after an authenticity check.</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color w:val="auto"/>
        </w:rPr>
        <w:t>To date, there have not been any such dividends or other distributions from our PRC subsidiaries to our subsidiaries located outside of China. In addition, as of the date of this prospectus, PRC subsidiaries have never issued any dividends or distributions to Ebang or its shareholders outside of China. Furthermore, as of the date of this prospectus, neither Ebang nor any of its subsidiaries have ever paid dividends or made distributions to U.S. investors. For risks relating to the fund flows of our operations in China, see the risks disclosed in our Annual Report under “Item 3. Key Information—D. Risk Factors—Risks Relating to Conducting Business in China—Our corporate structure may restrict our ability to receive dividends from, and transfer funds to, our PRC operating subsidiaries, which could restrict our ability to act in response to changing market conditions in a timely manner.”</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Ebang is permitted under PRC laws and regulations as an offshore holding company to provide funding to its PRC subsidiaries in China through shareholder loans or capital contributions, subject to satisfaction of applicable government registration, approval and filing requirements. According to the relevant PRC regulations on foreign-invested enterprises in China, there are no quantity limits on Ebang’s ability to make capital contributions to its PRC subsidiaries. However, our PRC subsidiaries may not procure loans which exceed one of the following criteria: (i) the difference between their respective registered capital and total investment amount as recorded in the Foreign Investment Comprehensive Management Information System; or (ii) the upper limit of risk-weighted outstanding cross-border financings, which equals to the capital or net assets multiplied by the cross-border financing leverage ratio multiplied by the macro-prudential adjustment parameter.</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We are a Cayman Islands holding company and the majority of our assets are located outside of the United States. In addition, a majority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See the risks disclosed under “Item 3.D. Key Information—Risk Factors— Risks Relating to Our Securities - Certain judgments obtained against us by our shareholders may not be enforceable” in our Annual Report, which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offer or sell any securities unless accompanied by a prospectus supplement.</w:t>
      </w:r>
    </w:p>
    <w:p>
      <w:pPr>
        <w:spacing w:after="0" w:line="1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ind w:left="4480"/>
              <w:spacing w:after="0"/>
              <w:rPr>
                <w:sz w:val="20"/>
                <w:szCs w:val="20"/>
                <w:color w:val="auto"/>
              </w:rPr>
            </w:pPr>
            <w:r>
              <w:rPr>
                <w:rFonts w:ascii="Times New Roman" w:cs="Times New Roman" w:eastAsia="Times New Roman" w:hAnsi="Times New Roman"/>
                <w:sz w:val="14"/>
                <w:szCs w:val="14"/>
                <w:color w:val="auto"/>
              </w:rPr>
              <w:t>The date of this prospectus is</w:t>
            </w:r>
          </w:p>
        </w:tc>
        <w:tc>
          <w:tcPr>
            <w:tcW w:w="4980" w:type="dxa"/>
            <w:vAlign w:val="bottom"/>
          </w:tcPr>
          <w:p>
            <w:pPr>
              <w:jc w:val="right"/>
              <w:ind w:right="4389"/>
              <w:spacing w:after="0"/>
              <w:rPr>
                <w:sz w:val="20"/>
                <w:szCs w:val="20"/>
                <w:color w:val="auto"/>
              </w:rPr>
            </w:pPr>
            <w:r>
              <w:rPr>
                <w:rFonts w:ascii="Times New Roman" w:cs="Times New Roman" w:eastAsia="Times New Roman" w:hAnsi="Times New Roman"/>
                <w:sz w:val="14"/>
                <w:szCs w:val="14"/>
                <w:color w:val="auto"/>
              </w:rPr>
              <w:t>, 2026</w:t>
            </w:r>
          </w:p>
        </w:tc>
      </w:tr>
      <w:tr>
        <w:trPr>
          <w:trHeight w:val="343"/>
        </w:trPr>
        <w:tc>
          <w:tcPr>
            <w:tcW w:w="63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3" w:right="3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7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7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740" w:type="dxa"/>
            <w:vAlign w:val="bottom"/>
          </w:tcPr>
          <w:p>
            <w:pPr>
              <w:spacing w:after="0"/>
              <w:rPr>
                <w:sz w:val="14"/>
                <w:szCs w:val="14"/>
                <w:color w:val="auto"/>
              </w:rPr>
            </w:pPr>
          </w:p>
        </w:tc>
      </w:tr>
      <w:tr>
        <w:trPr>
          <w:trHeight w:val="138"/>
        </w:trPr>
        <w:tc>
          <w:tcPr>
            <w:tcW w:w="4540" w:type="dxa"/>
            <w:vAlign w:val="bottom"/>
            <w:gridSpan w:val="18"/>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EE"/>
              </w:rPr>
              <w:t>ABOUT THIS PROSPECTUS</w:t>
            </w:r>
          </w:p>
        </w:tc>
        <w:tc>
          <w:tcPr>
            <w:tcW w:w="6740" w:type="dxa"/>
            <w:vAlign w:val="bottom"/>
            <w:shd w:val="clear" w:color="auto" w:fill="CCEEFF"/>
          </w:tcPr>
          <w:p>
            <w:pPr>
              <w:ind w:left="6200"/>
              <w:spacing w:after="0" w:line="139" w:lineRule="exact"/>
              <w:rPr>
                <w:sz w:val="20"/>
                <w:szCs w:val="20"/>
                <w:color w:val="auto"/>
              </w:rPr>
            </w:pPr>
            <w:r>
              <w:rPr>
                <w:rFonts w:ascii="Times New Roman" w:cs="Times New Roman" w:eastAsia="Times New Roman" w:hAnsi="Times New Roman"/>
                <w:sz w:val="14"/>
                <w:szCs w:val="14"/>
                <w:color w:val="auto"/>
              </w:rPr>
              <w:t>ii</w:t>
            </w:r>
          </w:p>
        </w:tc>
      </w:tr>
      <w:tr>
        <w:trPr>
          <w:trHeight w:val="32"/>
        </w:trPr>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r>
      <w:tr>
        <w:trPr>
          <w:trHeight w:val="144"/>
        </w:trPr>
        <w:tc>
          <w:tcPr>
            <w:tcW w:w="3760" w:type="dxa"/>
            <w:vAlign w:val="bottom"/>
            <w:tcBorders>
              <w:bottom w:val="single" w:sz="8" w:color="0000EE"/>
            </w:tcBorders>
            <w:gridSpan w:val="16"/>
          </w:tcPr>
          <w:p>
            <w:pPr>
              <w:spacing w:after="0" w:line="139" w:lineRule="exact"/>
              <w:rPr>
                <w:sz w:val="20"/>
                <w:szCs w:val="20"/>
                <w:color w:val="auto"/>
              </w:rPr>
            </w:pPr>
            <w:r>
              <w:rPr>
                <w:rFonts w:ascii="Times New Roman" w:cs="Times New Roman" w:eastAsia="Times New Roman" w:hAnsi="Times New Roman"/>
                <w:sz w:val="14"/>
                <w:szCs w:val="14"/>
                <w:color w:val="0000EE"/>
              </w:rPr>
              <w:t>WHERE YOU CAN FIND MORE INFORMATION ABOUT US</w:t>
            </w:r>
          </w:p>
        </w:tc>
        <w:tc>
          <w:tcPr>
            <w:tcW w:w="780" w:type="dxa"/>
            <w:vAlign w:val="bottom"/>
            <w:gridSpan w:val="2"/>
          </w:tcPr>
          <w:p>
            <w:pPr>
              <w:spacing w:after="0"/>
              <w:rPr>
                <w:sz w:val="12"/>
                <w:szCs w:val="12"/>
                <w:color w:val="auto"/>
              </w:rPr>
            </w:pPr>
          </w:p>
        </w:tc>
        <w:tc>
          <w:tcPr>
            <w:tcW w:w="6740" w:type="dxa"/>
            <w:vAlign w:val="bottom"/>
          </w:tcPr>
          <w:p>
            <w:pPr>
              <w:ind w:left="6180"/>
              <w:spacing w:after="0" w:line="139" w:lineRule="exact"/>
              <w:rPr>
                <w:sz w:val="20"/>
                <w:szCs w:val="20"/>
                <w:color w:val="auto"/>
              </w:rPr>
            </w:pPr>
            <w:r>
              <w:rPr>
                <w:rFonts w:ascii="Times New Roman" w:cs="Times New Roman" w:eastAsia="Times New Roman" w:hAnsi="Times New Roman"/>
                <w:sz w:val="14"/>
                <w:szCs w:val="14"/>
                <w:color w:val="auto"/>
              </w:rPr>
              <w:t>iii</w:t>
            </w:r>
          </w:p>
        </w:tc>
      </w:tr>
      <w:tr>
        <w:trPr>
          <w:trHeight w:val="144"/>
        </w:trPr>
        <w:tc>
          <w:tcPr>
            <w:tcW w:w="4540" w:type="dxa"/>
            <w:vAlign w:val="bottom"/>
            <w:gridSpan w:val="18"/>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INCORPORATION OF DOCUMENTS BY REFERENCE</w:t>
            </w:r>
          </w:p>
        </w:tc>
        <w:tc>
          <w:tcPr>
            <w:tcW w:w="6740" w:type="dxa"/>
            <w:vAlign w:val="bottom"/>
            <w:shd w:val="clear" w:color="auto" w:fill="CCEEFF"/>
          </w:tcPr>
          <w:p>
            <w:pPr>
              <w:ind w:left="6180"/>
              <w:spacing w:after="0" w:line="145" w:lineRule="exact"/>
              <w:rPr>
                <w:sz w:val="20"/>
                <w:szCs w:val="20"/>
                <w:color w:val="auto"/>
              </w:rPr>
            </w:pPr>
            <w:r>
              <w:rPr>
                <w:rFonts w:ascii="Times New Roman" w:cs="Times New Roman" w:eastAsia="Times New Roman" w:hAnsi="Times New Roman"/>
                <w:sz w:val="14"/>
                <w:szCs w:val="14"/>
                <w:color w:val="auto"/>
              </w:rPr>
              <w:t>iv</w:t>
            </w:r>
          </w:p>
        </w:tc>
      </w:tr>
      <w:tr>
        <w:trPr>
          <w:trHeight w:val="32"/>
        </w:trPr>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r>
      <w:tr>
        <w:trPr>
          <w:trHeight w:val="144"/>
        </w:trPr>
        <w:tc>
          <w:tcPr>
            <w:tcW w:w="4220" w:type="dxa"/>
            <w:vAlign w:val="bottom"/>
            <w:tcBorders>
              <w:bottom w:val="single" w:sz="8" w:color="0000EE"/>
            </w:tcBorders>
            <w:gridSpan w:val="17"/>
          </w:tcPr>
          <w:p>
            <w:pPr>
              <w:spacing w:after="0" w:line="139" w:lineRule="exact"/>
              <w:rPr>
                <w:sz w:val="20"/>
                <w:szCs w:val="20"/>
                <w:color w:val="auto"/>
              </w:rPr>
            </w:pPr>
            <w:r>
              <w:rPr>
                <w:rFonts w:ascii="Times New Roman" w:cs="Times New Roman" w:eastAsia="Times New Roman" w:hAnsi="Times New Roman"/>
                <w:sz w:val="14"/>
                <w:szCs w:val="14"/>
                <w:color w:val="0000EE"/>
                <w:w w:val="99"/>
              </w:rPr>
              <w:t>SPECIAL NOTE REGARDING FORWARD-LOOKING STATEMENTS</w:t>
            </w:r>
          </w:p>
        </w:tc>
        <w:tc>
          <w:tcPr>
            <w:tcW w:w="320" w:type="dxa"/>
            <w:vAlign w:val="bottom"/>
          </w:tcPr>
          <w:p>
            <w:pPr>
              <w:spacing w:after="0"/>
              <w:rPr>
                <w:sz w:val="12"/>
                <w:szCs w:val="12"/>
                <w:color w:val="auto"/>
              </w:rPr>
            </w:pPr>
          </w:p>
        </w:tc>
        <w:tc>
          <w:tcPr>
            <w:tcW w:w="6740" w:type="dxa"/>
            <w:vAlign w:val="bottom"/>
          </w:tcPr>
          <w:p>
            <w:pPr>
              <w:ind w:left="6200"/>
              <w:spacing w:after="0" w:line="139" w:lineRule="exact"/>
              <w:rPr>
                <w:sz w:val="20"/>
                <w:szCs w:val="20"/>
                <w:color w:val="auto"/>
              </w:rPr>
            </w:pPr>
            <w:r>
              <w:rPr>
                <w:rFonts w:ascii="Times New Roman" w:cs="Times New Roman" w:eastAsia="Times New Roman" w:hAnsi="Times New Roman"/>
                <w:sz w:val="14"/>
                <w:szCs w:val="14"/>
                <w:color w:val="auto"/>
              </w:rPr>
              <w:t>v</w:t>
            </w:r>
          </w:p>
        </w:tc>
      </w:tr>
      <w:tr>
        <w:trPr>
          <w:trHeight w:val="156"/>
        </w:trPr>
        <w:tc>
          <w:tcPr>
            <w:tcW w:w="1040" w:type="dxa"/>
            <w:vAlign w:val="bottom"/>
            <w:tcBorders>
              <w:bottom w:val="single" w:sz="8" w:color="0000EE"/>
            </w:tcBorders>
            <w:gridSpan w:val="4"/>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8"/>
              </w:rPr>
              <w:t>OUR COMPANY</w:t>
            </w:r>
          </w:p>
        </w:tc>
        <w:tc>
          <w:tcPr>
            <w:tcW w:w="3500" w:type="dxa"/>
            <w:vAlign w:val="bottom"/>
            <w:tcBorders>
              <w:bottom w:val="single" w:sz="8" w:color="CCEEFF"/>
            </w:tcBorders>
            <w:gridSpan w:val="14"/>
            <w:shd w:val="clear" w:color="auto" w:fill="CCEEFF"/>
          </w:tcPr>
          <w:p>
            <w:pPr>
              <w:spacing w:after="0"/>
              <w:rPr>
                <w:sz w:val="13"/>
                <w:szCs w:val="13"/>
                <w:color w:val="auto"/>
              </w:rPr>
            </w:pPr>
          </w:p>
        </w:tc>
        <w:tc>
          <w:tcPr>
            <w:tcW w:w="6740" w:type="dxa"/>
            <w:vAlign w:val="bottom"/>
            <w:tcBorders>
              <w:bottom w:val="single" w:sz="8" w:color="CCEEFF"/>
            </w:tcBorders>
            <w:shd w:val="clear" w:color="auto" w:fill="CCEEFF"/>
          </w:tcPr>
          <w:p>
            <w:pPr>
              <w:jc w:val="center"/>
              <w:ind w:left="5649"/>
              <w:spacing w:after="0" w:line="145" w:lineRule="exact"/>
              <w:rPr>
                <w:sz w:val="20"/>
                <w:szCs w:val="20"/>
                <w:color w:val="auto"/>
              </w:rPr>
            </w:pPr>
            <w:r>
              <w:rPr>
                <w:rFonts w:ascii="Times New Roman" w:cs="Times New Roman" w:eastAsia="Times New Roman" w:hAnsi="Times New Roman"/>
                <w:sz w:val="14"/>
                <w:szCs w:val="14"/>
                <w:color w:val="auto"/>
                <w:w w:val="85"/>
              </w:rPr>
              <w:t>1</w:t>
            </w:r>
          </w:p>
        </w:tc>
      </w:tr>
      <w:tr>
        <w:trPr>
          <w:trHeight w:val="138"/>
        </w:trPr>
        <w:tc>
          <w:tcPr>
            <w:tcW w:w="4540" w:type="dxa"/>
            <w:vAlign w:val="bottom"/>
            <w:gridSpan w:val="18"/>
          </w:tcPr>
          <w:p>
            <w:pPr>
              <w:spacing w:after="0" w:line="139" w:lineRule="exact"/>
              <w:rPr>
                <w:sz w:val="20"/>
                <w:szCs w:val="20"/>
                <w:color w:val="auto"/>
              </w:rPr>
            </w:pPr>
            <w:r>
              <w:rPr>
                <w:rFonts w:ascii="Times New Roman" w:cs="Times New Roman" w:eastAsia="Times New Roman" w:hAnsi="Times New Roman"/>
                <w:sz w:val="14"/>
                <w:szCs w:val="14"/>
                <w:color w:val="0000EE"/>
              </w:rPr>
              <w:t>RISK FACTORS</w:t>
            </w:r>
          </w:p>
        </w:tc>
        <w:tc>
          <w:tcPr>
            <w:tcW w:w="6740" w:type="dxa"/>
            <w:vAlign w:val="bottom"/>
          </w:tcPr>
          <w:p>
            <w:pPr>
              <w:jc w:val="center"/>
              <w:ind w:left="5649"/>
              <w:spacing w:after="0" w:line="139" w:lineRule="exact"/>
              <w:rPr>
                <w:sz w:val="20"/>
                <w:szCs w:val="20"/>
                <w:color w:val="auto"/>
              </w:rPr>
            </w:pPr>
            <w:r>
              <w:rPr>
                <w:rFonts w:ascii="Times New Roman" w:cs="Times New Roman" w:eastAsia="Times New Roman" w:hAnsi="Times New Roman"/>
                <w:sz w:val="14"/>
                <w:szCs w:val="14"/>
                <w:color w:val="auto"/>
                <w:w w:val="85"/>
              </w:rPr>
              <w:t>2</w:t>
            </w:r>
          </w:p>
        </w:tc>
      </w:tr>
      <w:tr>
        <w:trPr>
          <w:trHeight w:val="26"/>
        </w:trPr>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156"/>
        </w:trPr>
        <w:tc>
          <w:tcPr>
            <w:tcW w:w="1260" w:type="dxa"/>
            <w:vAlign w:val="bottom"/>
            <w:tcBorders>
              <w:bottom w:val="single" w:sz="8" w:color="0000EE"/>
            </w:tcBorders>
            <w:gridSpan w:val="6"/>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USE OF PROCEEDS</w:t>
            </w:r>
          </w:p>
        </w:tc>
        <w:tc>
          <w:tcPr>
            <w:tcW w:w="3280" w:type="dxa"/>
            <w:vAlign w:val="bottom"/>
            <w:tcBorders>
              <w:bottom w:val="single" w:sz="8" w:color="CCEEFF"/>
            </w:tcBorders>
            <w:gridSpan w:val="12"/>
            <w:shd w:val="clear" w:color="auto" w:fill="CCEEFF"/>
          </w:tcPr>
          <w:p>
            <w:pPr>
              <w:spacing w:after="0"/>
              <w:rPr>
                <w:sz w:val="13"/>
                <w:szCs w:val="13"/>
                <w:color w:val="auto"/>
              </w:rPr>
            </w:pPr>
          </w:p>
        </w:tc>
        <w:tc>
          <w:tcPr>
            <w:tcW w:w="6740" w:type="dxa"/>
            <w:vAlign w:val="bottom"/>
            <w:tcBorders>
              <w:bottom w:val="single" w:sz="8" w:color="CCEEFF"/>
            </w:tcBorders>
            <w:shd w:val="clear" w:color="auto" w:fill="CCEEFF"/>
          </w:tcPr>
          <w:p>
            <w:pPr>
              <w:jc w:val="center"/>
              <w:ind w:left="5649"/>
              <w:spacing w:after="0" w:line="145" w:lineRule="exact"/>
              <w:rPr>
                <w:sz w:val="20"/>
                <w:szCs w:val="20"/>
                <w:color w:val="auto"/>
              </w:rPr>
            </w:pPr>
            <w:r>
              <w:rPr>
                <w:rFonts w:ascii="Times New Roman" w:cs="Times New Roman" w:eastAsia="Times New Roman" w:hAnsi="Times New Roman"/>
                <w:sz w:val="14"/>
                <w:szCs w:val="14"/>
                <w:color w:val="auto"/>
                <w:w w:val="85"/>
              </w:rPr>
              <w:t>3</w:t>
            </w:r>
          </w:p>
        </w:tc>
      </w:tr>
      <w:tr>
        <w:trPr>
          <w:trHeight w:val="144"/>
        </w:trPr>
        <w:tc>
          <w:tcPr>
            <w:tcW w:w="2700" w:type="dxa"/>
            <w:vAlign w:val="bottom"/>
            <w:tcBorders>
              <w:bottom w:val="single" w:sz="8" w:color="0000EE"/>
            </w:tcBorders>
            <w:gridSpan w:val="13"/>
          </w:tcPr>
          <w:p>
            <w:pPr>
              <w:spacing w:after="0" w:line="139" w:lineRule="exact"/>
              <w:rPr>
                <w:sz w:val="20"/>
                <w:szCs w:val="20"/>
                <w:color w:val="auto"/>
              </w:rPr>
            </w:pPr>
            <w:r>
              <w:rPr>
                <w:rFonts w:ascii="Times New Roman" w:cs="Times New Roman" w:eastAsia="Times New Roman" w:hAnsi="Times New Roman"/>
                <w:sz w:val="14"/>
                <w:szCs w:val="14"/>
                <w:color w:val="0000EE"/>
              </w:rPr>
              <w:t>ENFORCEABILITY OF CIVIL LIABILITIES</w:t>
            </w:r>
          </w:p>
        </w:tc>
        <w:tc>
          <w:tcPr>
            <w:tcW w:w="1840" w:type="dxa"/>
            <w:vAlign w:val="bottom"/>
            <w:gridSpan w:val="5"/>
          </w:tcPr>
          <w:p>
            <w:pPr>
              <w:spacing w:after="0"/>
              <w:rPr>
                <w:sz w:val="12"/>
                <w:szCs w:val="12"/>
                <w:color w:val="auto"/>
              </w:rPr>
            </w:pPr>
          </w:p>
        </w:tc>
        <w:tc>
          <w:tcPr>
            <w:tcW w:w="6740" w:type="dxa"/>
            <w:vAlign w:val="bottom"/>
          </w:tcPr>
          <w:p>
            <w:pPr>
              <w:jc w:val="center"/>
              <w:ind w:left="5649"/>
              <w:spacing w:after="0" w:line="139" w:lineRule="exact"/>
              <w:rPr>
                <w:sz w:val="20"/>
                <w:szCs w:val="20"/>
                <w:color w:val="auto"/>
              </w:rPr>
            </w:pPr>
            <w:r>
              <w:rPr>
                <w:rFonts w:ascii="Times New Roman" w:cs="Times New Roman" w:eastAsia="Times New Roman" w:hAnsi="Times New Roman"/>
                <w:sz w:val="14"/>
                <w:szCs w:val="14"/>
                <w:color w:val="auto"/>
                <w:w w:val="85"/>
              </w:rPr>
              <w:t>4</w:t>
            </w:r>
          </w:p>
        </w:tc>
      </w:tr>
      <w:tr>
        <w:trPr>
          <w:trHeight w:val="156"/>
        </w:trPr>
        <w:tc>
          <w:tcPr>
            <w:tcW w:w="720" w:type="dxa"/>
            <w:vAlign w:val="bottom"/>
            <w:tcBorders>
              <w:bottom w:val="single" w:sz="8" w:color="0000EE"/>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6"/>
              </w:rPr>
              <w:t>TAXATION</w:t>
            </w:r>
          </w:p>
        </w:tc>
        <w:tc>
          <w:tcPr>
            <w:tcW w:w="3820" w:type="dxa"/>
            <w:vAlign w:val="bottom"/>
            <w:tcBorders>
              <w:bottom w:val="single" w:sz="8" w:color="CCEEFF"/>
            </w:tcBorders>
            <w:gridSpan w:val="16"/>
            <w:shd w:val="clear" w:color="auto" w:fill="CCEEFF"/>
          </w:tcPr>
          <w:p>
            <w:pPr>
              <w:spacing w:after="0"/>
              <w:rPr>
                <w:sz w:val="13"/>
                <w:szCs w:val="13"/>
                <w:color w:val="auto"/>
              </w:rPr>
            </w:pPr>
          </w:p>
        </w:tc>
        <w:tc>
          <w:tcPr>
            <w:tcW w:w="6740" w:type="dxa"/>
            <w:vAlign w:val="bottom"/>
            <w:tcBorders>
              <w:bottom w:val="single" w:sz="8" w:color="CCEEFF"/>
            </w:tcBorders>
            <w:shd w:val="clear" w:color="auto" w:fill="CCEEFF"/>
          </w:tcPr>
          <w:p>
            <w:pPr>
              <w:jc w:val="center"/>
              <w:ind w:left="5649"/>
              <w:spacing w:after="0" w:line="145" w:lineRule="exact"/>
              <w:rPr>
                <w:sz w:val="20"/>
                <w:szCs w:val="20"/>
                <w:color w:val="auto"/>
              </w:rPr>
            </w:pPr>
            <w:r>
              <w:rPr>
                <w:rFonts w:ascii="Times New Roman" w:cs="Times New Roman" w:eastAsia="Times New Roman" w:hAnsi="Times New Roman"/>
                <w:sz w:val="14"/>
                <w:szCs w:val="14"/>
                <w:color w:val="auto"/>
                <w:w w:val="85"/>
              </w:rPr>
              <w:t>6</w:t>
            </w:r>
          </w:p>
        </w:tc>
      </w:tr>
      <w:tr>
        <w:trPr>
          <w:trHeight w:val="144"/>
        </w:trPr>
        <w:tc>
          <w:tcPr>
            <w:tcW w:w="2300" w:type="dxa"/>
            <w:vAlign w:val="bottom"/>
            <w:tcBorders>
              <w:bottom w:val="single" w:sz="8" w:color="0000EE"/>
            </w:tcBorders>
            <w:gridSpan w:val="11"/>
          </w:tcPr>
          <w:p>
            <w:pPr>
              <w:spacing w:after="0" w:line="139" w:lineRule="exact"/>
              <w:rPr>
                <w:sz w:val="20"/>
                <w:szCs w:val="20"/>
                <w:color w:val="auto"/>
              </w:rPr>
            </w:pPr>
            <w:r>
              <w:rPr>
                <w:rFonts w:ascii="Times New Roman" w:cs="Times New Roman" w:eastAsia="Times New Roman" w:hAnsi="Times New Roman"/>
                <w:sz w:val="14"/>
                <w:szCs w:val="14"/>
                <w:color w:val="0000EE"/>
              </w:rPr>
              <w:t>DESCRIPTION OF THE SECURITIES</w:t>
            </w:r>
          </w:p>
        </w:tc>
        <w:tc>
          <w:tcPr>
            <w:tcW w:w="2240" w:type="dxa"/>
            <w:vAlign w:val="bottom"/>
            <w:gridSpan w:val="7"/>
          </w:tcPr>
          <w:p>
            <w:pPr>
              <w:spacing w:after="0"/>
              <w:rPr>
                <w:sz w:val="12"/>
                <w:szCs w:val="12"/>
                <w:color w:val="auto"/>
              </w:rPr>
            </w:pPr>
          </w:p>
        </w:tc>
        <w:tc>
          <w:tcPr>
            <w:tcW w:w="6740" w:type="dxa"/>
            <w:vAlign w:val="bottom"/>
          </w:tcPr>
          <w:p>
            <w:pPr>
              <w:jc w:val="center"/>
              <w:ind w:left="5649"/>
              <w:spacing w:after="0" w:line="139" w:lineRule="exact"/>
              <w:rPr>
                <w:sz w:val="20"/>
                <w:szCs w:val="20"/>
                <w:color w:val="auto"/>
              </w:rPr>
            </w:pPr>
            <w:r>
              <w:rPr>
                <w:rFonts w:ascii="Times New Roman" w:cs="Times New Roman" w:eastAsia="Times New Roman" w:hAnsi="Times New Roman"/>
                <w:sz w:val="14"/>
                <w:szCs w:val="14"/>
                <w:color w:val="auto"/>
                <w:w w:val="85"/>
              </w:rPr>
              <w:t>7</w:t>
            </w:r>
          </w:p>
        </w:tc>
      </w:tr>
      <w:tr>
        <w:trPr>
          <w:trHeight w:val="144"/>
        </w:trPr>
        <w:tc>
          <w:tcPr>
            <w:tcW w:w="4540" w:type="dxa"/>
            <w:vAlign w:val="bottom"/>
            <w:gridSpan w:val="18"/>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DESCRIPTION OF SHARE CAPITAL</w:t>
            </w:r>
          </w:p>
        </w:tc>
        <w:tc>
          <w:tcPr>
            <w:tcW w:w="6740" w:type="dxa"/>
            <w:vAlign w:val="bottom"/>
            <w:shd w:val="clear" w:color="auto" w:fill="CCEEFF"/>
          </w:tcPr>
          <w:p>
            <w:pPr>
              <w:jc w:val="center"/>
              <w:ind w:left="5649"/>
              <w:spacing w:after="0" w:line="145" w:lineRule="exact"/>
              <w:rPr>
                <w:sz w:val="20"/>
                <w:szCs w:val="20"/>
                <w:color w:val="auto"/>
              </w:rPr>
            </w:pPr>
            <w:r>
              <w:rPr>
                <w:rFonts w:ascii="Times New Roman" w:cs="Times New Roman" w:eastAsia="Times New Roman" w:hAnsi="Times New Roman"/>
                <w:sz w:val="14"/>
                <w:szCs w:val="14"/>
                <w:color w:val="auto"/>
                <w:w w:val="85"/>
              </w:rPr>
              <w:t>8</w:t>
            </w:r>
          </w:p>
        </w:tc>
      </w:tr>
      <w:tr>
        <w:trPr>
          <w:trHeight w:val="32"/>
        </w:trPr>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tcBorders>
              <w:right w:val="single" w:sz="8" w:color="CCEEFF"/>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r>
      <w:tr>
        <w:trPr>
          <w:trHeight w:val="144"/>
        </w:trPr>
        <w:tc>
          <w:tcPr>
            <w:tcW w:w="2400" w:type="dxa"/>
            <w:vAlign w:val="bottom"/>
            <w:tcBorders>
              <w:bottom w:val="single" w:sz="8" w:color="0000EE"/>
            </w:tcBorders>
            <w:gridSpan w:val="12"/>
          </w:tcPr>
          <w:p>
            <w:pPr>
              <w:spacing w:after="0" w:line="139"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2140" w:type="dxa"/>
            <w:vAlign w:val="bottom"/>
            <w:gridSpan w:val="6"/>
          </w:tcPr>
          <w:p>
            <w:pPr>
              <w:spacing w:after="0"/>
              <w:rPr>
                <w:sz w:val="12"/>
                <w:szCs w:val="12"/>
                <w:color w:val="auto"/>
              </w:rPr>
            </w:pPr>
          </w:p>
        </w:tc>
        <w:tc>
          <w:tcPr>
            <w:tcW w:w="6740" w:type="dxa"/>
            <w:vAlign w:val="bottom"/>
          </w:tcPr>
          <w:p>
            <w:pPr>
              <w:jc w:val="center"/>
              <w:ind w:left="5649"/>
              <w:spacing w:after="0" w:line="139" w:lineRule="exact"/>
              <w:rPr>
                <w:sz w:val="20"/>
                <w:szCs w:val="20"/>
                <w:color w:val="auto"/>
              </w:rPr>
            </w:pPr>
            <w:r>
              <w:rPr>
                <w:rFonts w:ascii="Times New Roman" w:cs="Times New Roman" w:eastAsia="Times New Roman" w:hAnsi="Times New Roman"/>
                <w:sz w:val="14"/>
                <w:szCs w:val="14"/>
                <w:color w:val="auto"/>
                <w:w w:val="99"/>
              </w:rPr>
              <w:t>19</w:t>
            </w:r>
          </w:p>
        </w:tc>
      </w:tr>
      <w:tr>
        <w:trPr>
          <w:trHeight w:val="144"/>
        </w:trPr>
        <w:tc>
          <w:tcPr>
            <w:tcW w:w="4540" w:type="dxa"/>
            <w:vAlign w:val="bottom"/>
            <w:gridSpan w:val="18"/>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DESCRIPTION OF WARRANTS</w:t>
            </w:r>
          </w:p>
        </w:tc>
        <w:tc>
          <w:tcPr>
            <w:tcW w:w="6740" w:type="dxa"/>
            <w:vAlign w:val="bottom"/>
            <w:shd w:val="clear" w:color="auto" w:fill="CCEEFF"/>
          </w:tcPr>
          <w:p>
            <w:pPr>
              <w:jc w:val="center"/>
              <w:ind w:left="5649"/>
              <w:spacing w:after="0" w:line="145" w:lineRule="exact"/>
              <w:rPr>
                <w:sz w:val="20"/>
                <w:szCs w:val="20"/>
                <w:color w:val="auto"/>
              </w:rPr>
            </w:pPr>
            <w:r>
              <w:rPr>
                <w:rFonts w:ascii="Times New Roman" w:cs="Times New Roman" w:eastAsia="Times New Roman" w:hAnsi="Times New Roman"/>
                <w:sz w:val="14"/>
                <w:szCs w:val="14"/>
                <w:color w:val="auto"/>
                <w:w w:val="99"/>
              </w:rPr>
              <w:t>22</w:t>
            </w:r>
          </w:p>
        </w:tc>
      </w:tr>
      <w:tr>
        <w:trPr>
          <w:trHeight w:val="32"/>
        </w:trPr>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r>
      <w:tr>
        <w:trPr>
          <w:trHeight w:val="144"/>
        </w:trPr>
        <w:tc>
          <w:tcPr>
            <w:tcW w:w="2740" w:type="dxa"/>
            <w:vAlign w:val="bottom"/>
            <w:tcBorders>
              <w:bottom w:val="single" w:sz="8" w:color="0000EE"/>
            </w:tcBorders>
            <w:gridSpan w:val="14"/>
          </w:tcPr>
          <w:p>
            <w:pPr>
              <w:spacing w:after="0" w:line="139" w:lineRule="exact"/>
              <w:rPr>
                <w:sz w:val="20"/>
                <w:szCs w:val="20"/>
                <w:color w:val="auto"/>
              </w:rPr>
            </w:pPr>
            <w:r>
              <w:rPr>
                <w:rFonts w:ascii="Times New Roman" w:cs="Times New Roman" w:eastAsia="Times New Roman" w:hAnsi="Times New Roman"/>
                <w:sz w:val="14"/>
                <w:szCs w:val="14"/>
                <w:color w:val="0000EE"/>
              </w:rPr>
              <w:t>DESCRIPTION OF SUBSCRIPTION RIGHTS</w:t>
            </w:r>
          </w:p>
        </w:tc>
        <w:tc>
          <w:tcPr>
            <w:tcW w:w="1800" w:type="dxa"/>
            <w:vAlign w:val="bottom"/>
            <w:gridSpan w:val="4"/>
          </w:tcPr>
          <w:p>
            <w:pPr>
              <w:spacing w:after="0"/>
              <w:rPr>
                <w:sz w:val="12"/>
                <w:szCs w:val="12"/>
                <w:color w:val="auto"/>
              </w:rPr>
            </w:pPr>
          </w:p>
        </w:tc>
        <w:tc>
          <w:tcPr>
            <w:tcW w:w="6740" w:type="dxa"/>
            <w:vAlign w:val="bottom"/>
          </w:tcPr>
          <w:p>
            <w:pPr>
              <w:jc w:val="center"/>
              <w:ind w:left="5649"/>
              <w:spacing w:after="0" w:line="139" w:lineRule="exact"/>
              <w:rPr>
                <w:sz w:val="20"/>
                <w:szCs w:val="20"/>
                <w:color w:val="auto"/>
              </w:rPr>
            </w:pPr>
            <w:r>
              <w:rPr>
                <w:rFonts w:ascii="Times New Roman" w:cs="Times New Roman" w:eastAsia="Times New Roman" w:hAnsi="Times New Roman"/>
                <w:sz w:val="14"/>
                <w:szCs w:val="14"/>
                <w:color w:val="auto"/>
                <w:w w:val="99"/>
              </w:rPr>
              <w:t>24</w:t>
            </w:r>
          </w:p>
        </w:tc>
      </w:tr>
      <w:tr>
        <w:trPr>
          <w:trHeight w:val="156"/>
        </w:trPr>
        <w:tc>
          <w:tcPr>
            <w:tcW w:w="1600" w:type="dxa"/>
            <w:vAlign w:val="bottom"/>
            <w:tcBorders>
              <w:bottom w:val="single" w:sz="8" w:color="0000EE"/>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DESCRIPTION OF UNITS</w:t>
            </w:r>
          </w:p>
        </w:tc>
        <w:tc>
          <w:tcPr>
            <w:tcW w:w="2940" w:type="dxa"/>
            <w:vAlign w:val="bottom"/>
            <w:tcBorders>
              <w:bottom w:val="single" w:sz="8" w:color="CCEEFF"/>
            </w:tcBorders>
            <w:gridSpan w:val="11"/>
            <w:shd w:val="clear" w:color="auto" w:fill="CCEEFF"/>
          </w:tcPr>
          <w:p>
            <w:pPr>
              <w:spacing w:after="0"/>
              <w:rPr>
                <w:sz w:val="13"/>
                <w:szCs w:val="13"/>
                <w:color w:val="auto"/>
              </w:rPr>
            </w:pPr>
          </w:p>
        </w:tc>
        <w:tc>
          <w:tcPr>
            <w:tcW w:w="6740" w:type="dxa"/>
            <w:vAlign w:val="bottom"/>
            <w:tcBorders>
              <w:bottom w:val="single" w:sz="8" w:color="CCEEFF"/>
            </w:tcBorders>
            <w:shd w:val="clear" w:color="auto" w:fill="CCEEFF"/>
          </w:tcPr>
          <w:p>
            <w:pPr>
              <w:jc w:val="center"/>
              <w:ind w:left="5649"/>
              <w:spacing w:after="0" w:line="145" w:lineRule="exact"/>
              <w:rPr>
                <w:sz w:val="20"/>
                <w:szCs w:val="20"/>
                <w:color w:val="auto"/>
              </w:rPr>
            </w:pPr>
            <w:r>
              <w:rPr>
                <w:rFonts w:ascii="Times New Roman" w:cs="Times New Roman" w:eastAsia="Times New Roman" w:hAnsi="Times New Roman"/>
                <w:sz w:val="14"/>
                <w:szCs w:val="14"/>
                <w:color w:val="auto"/>
                <w:w w:val="99"/>
              </w:rPr>
              <w:t>25</w:t>
            </w:r>
          </w:p>
        </w:tc>
      </w:tr>
      <w:tr>
        <w:trPr>
          <w:trHeight w:val="144"/>
        </w:trPr>
        <w:tc>
          <w:tcPr>
            <w:tcW w:w="4540" w:type="dxa"/>
            <w:vAlign w:val="bottom"/>
            <w:gridSpan w:val="18"/>
          </w:tcPr>
          <w:p>
            <w:pPr>
              <w:spacing w:after="0" w:line="139" w:lineRule="exact"/>
              <w:rPr>
                <w:sz w:val="20"/>
                <w:szCs w:val="20"/>
                <w:color w:val="auto"/>
              </w:rPr>
            </w:pPr>
            <w:r>
              <w:rPr>
                <w:rFonts w:ascii="Times New Roman" w:cs="Times New Roman" w:eastAsia="Times New Roman" w:hAnsi="Times New Roman"/>
                <w:sz w:val="14"/>
                <w:szCs w:val="14"/>
                <w:color w:val="0000EE"/>
              </w:rPr>
              <w:t>PLAN OF DISTRIBUTION</w:t>
            </w:r>
          </w:p>
        </w:tc>
        <w:tc>
          <w:tcPr>
            <w:tcW w:w="6740" w:type="dxa"/>
            <w:vAlign w:val="bottom"/>
          </w:tcPr>
          <w:p>
            <w:pPr>
              <w:jc w:val="center"/>
              <w:ind w:left="5649"/>
              <w:spacing w:after="0" w:line="139" w:lineRule="exact"/>
              <w:rPr>
                <w:sz w:val="20"/>
                <w:szCs w:val="20"/>
                <w:color w:val="auto"/>
              </w:rPr>
            </w:pPr>
            <w:r>
              <w:rPr>
                <w:rFonts w:ascii="Times New Roman" w:cs="Times New Roman" w:eastAsia="Times New Roman" w:hAnsi="Times New Roman"/>
                <w:sz w:val="14"/>
                <w:szCs w:val="14"/>
                <w:color w:val="auto"/>
                <w:w w:val="99"/>
              </w:rPr>
              <w:t>26</w:t>
            </w:r>
          </w:p>
        </w:tc>
      </w:tr>
      <w:tr>
        <w:trPr>
          <w:trHeight w:val="156"/>
        </w:trPr>
        <w:tc>
          <w:tcPr>
            <w:tcW w:w="1160" w:type="dxa"/>
            <w:vAlign w:val="bottom"/>
            <w:tcBorders>
              <w:top w:val="single" w:sz="8" w:color="0000EE"/>
              <w:bottom w:val="single" w:sz="8" w:color="0000EE"/>
            </w:tcBorders>
            <w:gridSpan w:val="5"/>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9"/>
              </w:rPr>
              <w:t>LEGAL MATTERS</w:t>
            </w:r>
          </w:p>
        </w:tc>
        <w:tc>
          <w:tcPr>
            <w:tcW w:w="46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2920" w:type="dxa"/>
            <w:vAlign w:val="bottom"/>
            <w:tcBorders>
              <w:bottom w:val="single" w:sz="8" w:color="CCEEFF"/>
            </w:tcBorders>
            <w:gridSpan w:val="10"/>
            <w:shd w:val="clear" w:color="auto" w:fill="CCEEFF"/>
          </w:tcPr>
          <w:p>
            <w:pPr>
              <w:spacing w:after="0"/>
              <w:rPr>
                <w:sz w:val="13"/>
                <w:szCs w:val="13"/>
                <w:color w:val="auto"/>
              </w:rPr>
            </w:pPr>
          </w:p>
        </w:tc>
        <w:tc>
          <w:tcPr>
            <w:tcW w:w="6740" w:type="dxa"/>
            <w:vAlign w:val="bottom"/>
            <w:tcBorders>
              <w:bottom w:val="single" w:sz="8" w:color="CCEEFF"/>
            </w:tcBorders>
            <w:shd w:val="clear" w:color="auto" w:fill="CCEEFF"/>
          </w:tcPr>
          <w:p>
            <w:pPr>
              <w:jc w:val="center"/>
              <w:ind w:left="5649"/>
              <w:spacing w:after="0" w:line="145" w:lineRule="exact"/>
              <w:rPr>
                <w:sz w:val="20"/>
                <w:szCs w:val="20"/>
                <w:color w:val="auto"/>
              </w:rPr>
            </w:pPr>
            <w:r>
              <w:rPr>
                <w:rFonts w:ascii="Times New Roman" w:cs="Times New Roman" w:eastAsia="Times New Roman" w:hAnsi="Times New Roman"/>
                <w:sz w:val="14"/>
                <w:szCs w:val="14"/>
                <w:color w:val="auto"/>
                <w:w w:val="99"/>
              </w:rPr>
              <w:t>29</w:t>
            </w:r>
          </w:p>
        </w:tc>
      </w:tr>
      <w:tr>
        <w:trPr>
          <w:trHeight w:val="138"/>
        </w:trPr>
        <w:tc>
          <w:tcPr>
            <w:tcW w:w="620" w:type="dxa"/>
            <w:vAlign w:val="bottom"/>
            <w:tcBorders>
              <w:bottom w:val="single" w:sz="8" w:color="0000EE"/>
            </w:tcBorders>
          </w:tcPr>
          <w:p>
            <w:pPr>
              <w:spacing w:after="0" w:line="139" w:lineRule="exact"/>
              <w:rPr>
                <w:sz w:val="20"/>
                <w:szCs w:val="20"/>
                <w:color w:val="auto"/>
              </w:rPr>
            </w:pPr>
            <w:r>
              <w:rPr>
                <w:rFonts w:ascii="Times New Roman" w:cs="Times New Roman" w:eastAsia="Times New Roman" w:hAnsi="Times New Roman"/>
                <w:sz w:val="14"/>
                <w:szCs w:val="14"/>
                <w:color w:val="0000EE"/>
                <w:w w:val="98"/>
              </w:rPr>
              <w:t>EXPERTS</w:t>
            </w:r>
          </w:p>
        </w:tc>
        <w:tc>
          <w:tcPr>
            <w:tcW w:w="3920" w:type="dxa"/>
            <w:vAlign w:val="bottom"/>
            <w:gridSpan w:val="17"/>
          </w:tcPr>
          <w:p>
            <w:pPr>
              <w:spacing w:after="0"/>
              <w:rPr>
                <w:sz w:val="12"/>
                <w:szCs w:val="12"/>
                <w:color w:val="auto"/>
              </w:rPr>
            </w:pPr>
          </w:p>
        </w:tc>
        <w:tc>
          <w:tcPr>
            <w:tcW w:w="6740" w:type="dxa"/>
            <w:vAlign w:val="bottom"/>
          </w:tcPr>
          <w:p>
            <w:pPr>
              <w:jc w:val="center"/>
              <w:ind w:left="5649"/>
              <w:spacing w:after="0" w:line="139" w:lineRule="exact"/>
              <w:rPr>
                <w:sz w:val="20"/>
                <w:szCs w:val="20"/>
                <w:color w:val="auto"/>
              </w:rPr>
            </w:pPr>
            <w:r>
              <w:rPr>
                <w:rFonts w:ascii="Times New Roman" w:cs="Times New Roman" w:eastAsia="Times New Roman" w:hAnsi="Times New Roman"/>
                <w:sz w:val="14"/>
                <w:szCs w:val="14"/>
                <w:color w:val="auto"/>
                <w:w w:val="99"/>
              </w:rPr>
              <w:t>29</w:t>
            </w:r>
          </w:p>
        </w:tc>
      </w:tr>
    </w:tbl>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this prospectus, unless otherwise indicated or unless the context otherwise requires,</w:t>
      </w:r>
    </w:p>
    <w:p>
      <w:pPr>
        <w:spacing w:after="0" w:line="201" w:lineRule="exact"/>
        <w:rPr>
          <w:sz w:val="20"/>
          <w:szCs w:val="20"/>
          <w:color w:val="auto"/>
        </w:rPr>
      </w:pPr>
    </w:p>
    <w:p>
      <w:pPr>
        <w:ind w:left="580" w:hanging="277"/>
        <w:spacing w:after="0"/>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“ASICs” means application-specific ICs, meaning ICs designed for a specific application;</w:t>
      </w:r>
    </w:p>
    <w:p>
      <w:pPr>
        <w:spacing w:after="0" w:line="222" w:lineRule="exact"/>
        <w:rPr>
          <w:rFonts w:ascii="Times New Roman" w:cs="Times New Roman" w:eastAsia="Times New Roman" w:hAnsi="Times New Roman"/>
          <w:sz w:val="14"/>
          <w:szCs w:val="14"/>
          <w:color w:val="auto"/>
        </w:rPr>
      </w:pPr>
    </w:p>
    <w:p>
      <w:pPr>
        <w:ind w:left="580" w:right="20" w:hanging="277"/>
        <w:spacing w:after="0" w:line="289" w:lineRule="auto"/>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“China” and the “PRC” means the People’s Republic of China, excluding, for the purposes of this prospectus only, Taiwan, the Hong Kong Special Administrative Region and the Macao Special Administrative Region;</w:t>
      </w:r>
    </w:p>
    <w:p>
      <w:pPr>
        <w:spacing w:after="0" w:line="166"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“Fintech” means financial technology;</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“ICs” or “chips” means integrated circuits;</w:t>
      </w:r>
    </w:p>
    <w:p>
      <w:pPr>
        <w:spacing w:after="0" w:line="222" w:lineRule="exact"/>
        <w:rPr>
          <w:rFonts w:ascii="Times New Roman" w:cs="Times New Roman" w:eastAsia="Times New Roman" w:hAnsi="Times New Roman"/>
          <w:sz w:val="14"/>
          <w:szCs w:val="14"/>
          <w:color w:val="auto"/>
        </w:rPr>
      </w:pPr>
    </w:p>
    <w:p>
      <w:pPr>
        <w:jc w:val="both"/>
        <w:ind w:left="580" w:right="20" w:hanging="277"/>
        <w:spacing w:after="0" w:line="271" w:lineRule="auto"/>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“PRC operating subsidiaries” means, for the purpose of this prospectus, primarily, Zhejiang Ebang Communication Technology Co., Ltd. (“Zhejiang Ebang”), Hangzhou Yibang Botong Technology Co., Ltd. (“Hangzhou Yibang Botong”), Hangzhou Ebang Shengye Technology Co., Ltd. (“Hangzhou Ebang Shengye”), Hangzhou Ebang Hongkun Technology Co., Ltd. (“Hangzhou Ebang Hongkun”) and Hangzhou Kunyuan Information Technology Co., Ltd. (“Hangzhou Kunyuan”);</w:t>
      </w:r>
    </w:p>
    <w:p>
      <w:pPr>
        <w:spacing w:after="0" w:line="178" w:lineRule="exact"/>
        <w:rPr>
          <w:rFonts w:ascii="Times New Roman" w:cs="Times New Roman" w:eastAsia="Times New Roman" w:hAnsi="Times New Roman"/>
          <w:sz w:val="14"/>
          <w:szCs w:val="14"/>
          <w:color w:val="auto"/>
        </w:rPr>
      </w:pPr>
    </w:p>
    <w:p>
      <w:pPr>
        <w:jc w:val="both"/>
        <w:ind w:left="580" w:right="20" w:hanging="277"/>
        <w:spacing w:after="0" w:line="262" w:lineRule="auto"/>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“PRC subsidiaries” means, for the purpose of this prospectus, primarily, PRC operating subsidiaries, Hangzhou Ebang Hongfa Technology Co., Ltd. (“Ebang Hongfa”), Hangzhou Ebang Shuotai Technology Co., Ltd. (“Hangzhou Ebang Shuotai”), Hangzhou Dewang Information Technology Co., Ltd. (“Hangzhou Dewang”), Zhejiang Ebang Communication Co., Ltd. (“Zhejiang Ebang Communication”) , Hangzhou Bangyun Information Technology Co., Ltd. (formerly known as Yunnan Ebang Information Technology Co., Ltd.) (“Hangzhou Bangyun”), Hangzhou Yijiaxin IC Design Co., Ltd. (“Hangzhou Yijiaxin”), Redback Technologies (Hangzhou) Co., Ltd. (formerly known as Redback Technologies (Shanghai) Co., Ltd.) (“Redback Hangzhou”), Hangzhou Yibang Zhiyuan New Materials Co., Ltd., and Yibang New Materials (Inner Mongolia) Co., Ltd.;</w:t>
      </w:r>
    </w:p>
    <w:p>
      <w:pPr>
        <w:spacing w:after="0" w:line="186" w:lineRule="exact"/>
        <w:rPr>
          <w:rFonts w:ascii="Times New Roman" w:cs="Times New Roman" w:eastAsia="Times New Roman" w:hAnsi="Times New Roman"/>
          <w:sz w:val="14"/>
          <w:szCs w:val="14"/>
          <w:color w:val="auto"/>
        </w:rPr>
      </w:pPr>
    </w:p>
    <w:p>
      <w:pPr>
        <w:jc w:val="both"/>
        <w:ind w:left="580" w:right="20" w:hanging="277"/>
        <w:spacing w:after="0" w:line="262" w:lineRule="auto"/>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subsidiaries” means, for the purpose of this prospectus, primarily, PRC operating subsidiaries, Ebonex Australia Pty Ltd (“Ebonex Australia”), Ebon Operations Australia Pty Ltd (“Ebon Operations”), Ebonfx Australia Pty Ltd (formerly known as Compass Global Holdings Pty Ltd) (“Ebonfx Australia”), Ebon Financial Services Pty Limited (“Ebon Financial Services”), Redback Technologies Holdings Pty Ltd (“Redback Technologies”), Redback Operations Pty Ltd (“Redback Operations”), Luceo Australia Pty Ltd (“Luceo Australia”), Luceo Management Pty Ltd (“Luceo Management”), Ebang Communications (HK) Technology Limited (formerly known as Hong Kong Bite Co., Limited) (“HK Ebang Communications”), HongKong Ebang Digital Technology Limited (“HK Ebang Digital”), and Ebon Solar Inc. (“Ebon Solar”);</w:t>
      </w:r>
    </w:p>
    <w:p>
      <w:pPr>
        <w:spacing w:after="0" w:line="186"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or “Class A ordinary shares” means our Class A ordinary shares, par value HK$0.03 per share;</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“U.S. Dollars,” “$” and “dollars” means the legal currency of the United States; and</w:t>
      </w:r>
    </w:p>
    <w:p>
      <w:pPr>
        <w:spacing w:after="0" w:line="222" w:lineRule="exact"/>
        <w:rPr>
          <w:rFonts w:ascii="Times New Roman" w:cs="Times New Roman" w:eastAsia="Times New Roman" w:hAnsi="Times New Roman"/>
          <w:sz w:val="14"/>
          <w:szCs w:val="14"/>
          <w:color w:val="auto"/>
        </w:rPr>
      </w:pPr>
    </w:p>
    <w:p>
      <w:pPr>
        <w:ind w:left="580" w:right="20" w:hanging="277"/>
        <w:spacing w:after="0" w:line="289" w:lineRule="auto"/>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 “our company,” the “Company,” “Ebang,” “Ebang International” and “our” means Ebang International Holdings Inc., our Cayman Islands holding company and from time to time, in the context of describing our business, our operations and consolidated financial information, Ebang International Holdings Inc. and its subsidiaries.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7" w:name="page8"/>
    <w:bookmarkEnd w:id="7"/>
    <w:p>
      <w:pPr>
        <w:jc w:val="both"/>
        <w:spacing w:after="0" w:line="259"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F-3 that we filed with the SEC using a “shelf” registration process permitted under the Securities Act. By using a shelf registration statement, we may sell our Class A ordinary shares, debt securities, warrants, subscription rights, units or any combination of any of the foregoing having an aggregate offering price of up to US$75,000,000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of the securities, you should carefully read both this prospectus and any prospectus supplement, together with the additional information described under the heading “Where You Can Find More Information About Us” and “Incorporation of Documents by Reference.”</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ABOUT US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are subject to periodic reporting and other informational requirements of the Securities Exchange Act of 1934, as amended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The SEC also maintains a web 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proxy and information statements, and other information regarding registrants that make electronic filings with the SEC using its EDGAR system. We also maintain a website at </w:t>
      </w:r>
      <w:r>
        <w:rPr>
          <w:rFonts w:ascii="Times New Roman" w:cs="Times New Roman" w:eastAsia="Times New Roman" w:hAnsi="Times New Roman"/>
          <w:sz w:val="14"/>
          <w:szCs w:val="14"/>
          <w:i w:val="1"/>
          <w:iCs w:val="1"/>
          <w:color w:val="auto"/>
        </w:rPr>
        <w:t>http://www.ebang.com</w:t>
      </w:r>
      <w:r>
        <w:rPr>
          <w:rFonts w:ascii="Times New Roman" w:cs="Times New Roman" w:eastAsia="Times New Roman" w:hAnsi="Times New Roman"/>
          <w:sz w:val="14"/>
          <w:szCs w:val="14"/>
          <w:color w:val="auto"/>
        </w:rPr>
        <w:t>, but information contained on, or linked from, our website is not incorporated by reference in this prospectus or any prospectus supplement or the registration statement of which they form a part. You should not regard any information on our website as a part of this prospectus or any prospectus supplement.</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As a foreign private issuer, we are exempt under the Exchange Act from, among other things, the rules prescribing the furnishing and content of proxy statements to shareholders, and our executive officers, directors and principal shareholders are exempt from the short-swing profit recovery provisions contained in Section 16 of the Exchange Act, and our principal shareholders are also exempt from the reporting provisions contained in Section 16 of the Exchange Act. In addition, we are not required under the Exchange Act to file periodic reports and financial statements with the SEC as frequently or as promptly as U.S. companies whose securities are registered under the Exchange Act. All information filed with the SEC can be inspected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F-3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through the SEC’s website, as provided above.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that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incorporate by reference the documents listed below:</w:t>
      </w:r>
    </w:p>
    <w:p>
      <w:pPr>
        <w:spacing w:after="0" w:line="201" w:lineRule="exact"/>
        <w:rPr>
          <w:sz w:val="20"/>
          <w:szCs w:val="20"/>
          <w:color w:val="auto"/>
        </w:rPr>
      </w:pPr>
    </w:p>
    <w:p>
      <w:pPr>
        <w:ind w:left="600" w:hanging="286"/>
        <w:spacing w:after="0"/>
        <w:tabs>
          <w:tab w:leader="none" w:pos="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3">
        <w:r>
          <w:rPr>
            <w:rFonts w:ascii="Times New Roman" w:cs="Times New Roman" w:eastAsia="Times New Roman" w:hAnsi="Times New Roman"/>
            <w:sz w:val="14"/>
            <w:szCs w:val="14"/>
            <w:u w:val="single" w:color="auto"/>
            <w:color w:val="0000EE"/>
          </w:rPr>
          <w:t>Form 20-F</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April 24, 2026;</w:t>
      </w:r>
    </w:p>
    <w:p>
      <w:pPr>
        <w:spacing w:after="0" w:line="222" w:lineRule="exact"/>
        <w:rPr>
          <w:rFonts w:ascii="Times New Roman" w:cs="Times New Roman" w:eastAsia="Times New Roman" w:hAnsi="Times New Roman"/>
          <w:sz w:val="14"/>
          <w:szCs w:val="14"/>
          <w:color w:val="auto"/>
        </w:rPr>
      </w:pPr>
    </w:p>
    <w:p>
      <w:pPr>
        <w:jc w:val="both"/>
        <w:ind w:left="600" w:right="40" w:hanging="286"/>
        <w:spacing w:after="0" w:line="271" w:lineRule="auto"/>
        <w:tabs>
          <w:tab w:leader="none" w:pos="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Class A ordinary shares contained in (i) our registration statement on </w:t>
      </w:r>
      <w:hyperlink r:id="rId24">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filed with the SEC on June 17, 2020 under Section 12(b) of the Exchange Act, including any amendments or reports filed for the purpose of updating such description and (ii) </w:t>
      </w:r>
      <w:hyperlink r:id="rId25">
        <w:r>
          <w:rPr>
            <w:rFonts w:ascii="Times New Roman" w:cs="Times New Roman" w:eastAsia="Times New Roman" w:hAnsi="Times New Roman"/>
            <w:sz w:val="14"/>
            <w:szCs w:val="14"/>
            <w:u w:val="single" w:color="auto"/>
            <w:color w:val="0000EE"/>
          </w:rPr>
          <w:t>Exhibit 2.5</w:t>
        </w:r>
      </w:hyperlink>
      <w:r>
        <w:rPr>
          <w:rFonts w:ascii="Times New Roman" w:cs="Times New Roman" w:eastAsia="Times New Roman" w:hAnsi="Times New Roman"/>
          <w:sz w:val="14"/>
          <w:szCs w:val="14"/>
          <w:color w:val="auto"/>
        </w:rPr>
        <w:t>—Description of Securities Registered Pursuant to Section 12 of the Securities Exchange Act of 1934, to our Annual Report on Form 20-F for the fiscal year ended December 31, 2025, filed with the SEC on April 24, 2026; and</w:t>
      </w:r>
    </w:p>
    <w:p>
      <w:pPr>
        <w:spacing w:after="0" w:line="178" w:lineRule="exact"/>
        <w:rPr>
          <w:rFonts w:ascii="Times New Roman" w:cs="Times New Roman" w:eastAsia="Times New Roman" w:hAnsi="Times New Roman"/>
          <w:sz w:val="14"/>
          <w:szCs w:val="14"/>
          <w:color w:val="auto"/>
        </w:rPr>
      </w:pPr>
    </w:p>
    <w:p>
      <w:pPr>
        <w:jc w:val="both"/>
        <w:ind w:left="600" w:right="40" w:hanging="286"/>
        <w:spacing w:after="0" w:line="271" w:lineRule="auto"/>
        <w:tabs>
          <w:tab w:leader="none" w:pos="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offering of securities under this prospectus, all of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such offering by means of this prospectus.</w:t>
      </w:r>
    </w:p>
    <w:p>
      <w:pPr>
        <w:spacing w:after="0" w:line="158" w:lineRule="exact"/>
        <w:rPr>
          <w:rFonts w:ascii="Times New Roman" w:cs="Times New Roman" w:eastAsia="Times New Roman" w:hAnsi="Times New Roman"/>
          <w:sz w:val="14"/>
          <w:szCs w:val="1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3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Dong Hu, Chief Executive Officer</w:t>
      </w:r>
    </w:p>
    <w:p>
      <w:pPr>
        <w:spacing w:after="0" w:line="2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Tel: (972) 689-1452</w:t>
      </w:r>
    </w:p>
    <w:p>
      <w:pPr>
        <w:spacing w:after="0" w:line="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E-mail: ir@ebang.com</w:t>
      </w:r>
    </w:p>
    <w:p>
      <w:pPr>
        <w:spacing w:after="0" w:line="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600 East John Carpenter Freeway, Suite 110</w:t>
      </w:r>
    </w:p>
    <w:p>
      <w:pPr>
        <w:spacing w:after="0" w:line="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Irving, Texas 75062</w:t>
      </w:r>
    </w:p>
    <w:p>
      <w:pPr>
        <w:spacing w:after="0" w:line="166" w:lineRule="exact"/>
        <w:rPr>
          <w:rFonts w:ascii="Times New Roman" w:cs="Times New Roman" w:eastAsia="Times New Roman" w:hAnsi="Times New Roman"/>
          <w:sz w:val="14"/>
          <w:szCs w:val="14"/>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Copies of these filings are also available on our website at www.ebang.com. For other ways to obtain a copy of these filings, please refer to “Where You Can Find More Information About Us” above.</w:t>
      </w:r>
    </w:p>
    <w:p>
      <w:pPr>
        <w:spacing w:after="0" w:line="334" w:lineRule="exact"/>
        <w:rPr>
          <w:rFonts w:ascii="Times New Roman" w:cs="Times New Roman" w:eastAsia="Times New Roman" w:hAnsi="Times New Roman"/>
          <w:sz w:val="14"/>
          <w:szCs w:val="1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You should rely only on the information that we incorporate by reference or provide in this prospectus or any prospectus supplement.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spacing w:after="0" w:line="30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into this prospectus and any prospectus supplement, and the documents that we reference herein and therein and have filed as exhibits to this Registration Statement, contain “forward-looking statements” within the meaning of Section 21(E) of the Exchange Act and Section 27A of the Securities Act, which reflect our current expectations and views of future events. Known and unknown risks, uncertainties and other factors, including those listed in the section entitled “Risk Factors,”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58" w:lineRule="exact"/>
        <w:rPr>
          <w:sz w:val="20"/>
          <w:szCs w:val="20"/>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goals and strategies;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operating strategies and plans for the development of existing and new businesses, ability to implement such strategies and plans and expected time;</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business development, financial condition and results of operations;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changes in our revenues, costs or expenditures;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dividend policy;</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demand for and market acceptance of our products and services;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relationships with customers and business partners;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trends in, expected growth in and market size of the industries in the markets we have business and globally;</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enhance our market position;</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develop new technologies and/or upgrade our existing technologies;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0" w:name="page11"/>
    <w:bookmarkEnd w:id="10"/>
    <w:p>
      <w:pPr>
        <w:ind w:left="580" w:hanging="277"/>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or changes to, laws, regulations, governmental policies, incentives and taxation affecting our operations, in particular in the industries in which we conduct our business;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relevant governmental policies and regulations relating to our businesses and industry;</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environment, competitive landscape and potential competitor behavior in our industry; overall industry outlook in our industry;</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train and retain executives and other employees;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the global financial and capital markets;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inflation, interest rates and exchange rates;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business, political, social and economic conditions in the markets we have business; and</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underlying or related to any of the foregoing.</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You should thoroughly read this prospectus, any prospectus supplement and the documents that we refer to with the understanding that our actual future results may be materially different from and worse than what we expect. In addition, the rapidly changing nature of the industries in which we operate our businesses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 We qualify all of our forward-looking statements by these cautionary statements.</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89535</wp:posOffset>
            </wp:positionV>
            <wp:extent cx="7133590" cy="3035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3590" cy="3035300"/>
                    </a:xfrm>
                    <a:prstGeom prst="rect">
                      <a:avLst/>
                    </a:prstGeom>
                    <a:noFill/>
                  </pic:spPr>
                </pic:pic>
              </a:graphicData>
            </a:graphic>
          </wp:anchor>
        </w:drawing>
        <w:t>OUR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With years of manufacturing experience and expertise in blockchain technology and Fintech, we have established ourselves as a key participant in these fields. Leveraging advanced technologies and cutting-edge financial services, our Fintech service platforms have been widely recognized by the market. Striving to diversify our offerings to achieve a more stable financial performance, we expanded into the renewable energy sector in Australia in November 2024, underscoring our commitment to sustainability and long-term growth. In the foreseeable future, we will continue to focus on our renewable energy business and further explore opportunities in related businesses, while proactively adapting to changes in market demand and seizing new development opportunities Our diversified model enables us to explore synergies across our businesses, driving value for our Company and shareholders.</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business lines are: Fintech, renewable energy, telecommunications, and blockchain products. Our Fintech businesses are primarily composed of our cryptocurrency exchange and cross-border payment and foreign exchange. Our renewable energy business was launched in November 2024 through the acquisition of Redback Technologies, which has been in operation for over 10 years in Australia. This business primarily offers solar and battery storage solutions and Software as a Service (“SaaS”) data visualization and analytics solutions. Our telecommunications business focuses on access-layer network devices that connect end users to telecommunications networks, with two main product lines and supporting components: Fiber-Optic Communication Access Devices and Enterprise Convergent Communication Terminals. Our blockchain products business is our legacy business that consists primarily of Bitcoin mining machine sales. Our legacy is built on our strong ASIC chip design capability, profound expertise and technical reserves, as well as years of manufacturing experience. To achieve a more stable financial performance, we are focused on consolidating our Fintech business, developing our renewable energy business, and exploring opportunities in emerging sectors. We intend to continue to concentrate our efforts in our core and related business areas in the foreseeable future, while remaining adaptable to market demands and open to new opportunities. As industry conditions, regulatory environments and market demand continue to evolve, we may adjust our strategic deployment, business focus and operating model from time to time. Our strategic plan will evolve as we identify and pursue growth initiatives that support the long-term development of our business and value creation for our shareholders.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Our principal executive offices are located at 600 East John Carpenter Freeway, Suite 110, Irving, Texas 75062 . Our telephone number at this address is (972) 689-1452. Our registered office in the Cayman Islands is located at Cricket Square, Hutchins Drive, P.O. Box 2681, Grand Cayman KY1-1111.</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15240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400" w:top="389"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Investing in our securities involves risk. You should carefully consider the risk factors and uncertainties described under the heading “Item 3. Key Information—D. Risk Factors” in our Annual Report, which is incorporated in this prospectus by reference, as updated by our subsequent filings under the Exchange Act, the information contained under the heading “Special Note Regarding Forward-Looking Statements” in this prospectus or under any similar heading in any applicable prospectus supplement or in any document incorporated herein or therein by reference, any specific risk factors discussed under the caption “Risk Factors” in any applicable prospectus supplement or in any document incorporated herein or therein by reference and the other information contained in, or incorporated by reference in, this prospectus or any applicable prospectus supplement before investing in any of the securities that may be offered or sold pursuant to this prospectus. If these risks and uncertainties occur, they could materially affect our business, results of operations or financial condition and cause the value of our securities to decline and you could lose all or part of your investment.</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3" w:name="page14"/>
    <w:bookmarkEnd w:id="13"/>
    <w:p>
      <w:pPr>
        <w:ind w:left="498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intend to use the net proceeds from the sale of the securities registered as set forth in the applicable prospectus supplement.</w:t>
      </w:r>
    </w:p>
    <w:p>
      <w:pPr>
        <w:spacing w:after="0" w:line="3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59"/>
          </w:cols>
          <w:pgMar w:left="300" w:top="293"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ENFORCEABILITY OF CIVIL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incorporated under the laws of the Cayman Islands to take advantage of certain benefits associated with being a Cayman Islands exempted company:</w:t>
      </w:r>
    </w:p>
    <w:p>
      <w:pPr>
        <w:spacing w:after="0" w:line="201" w:lineRule="exact"/>
        <w:rPr>
          <w:sz w:val="20"/>
          <w:szCs w:val="20"/>
          <w:color w:val="auto"/>
        </w:rPr>
      </w:pPr>
    </w:p>
    <w:p>
      <w:pPr>
        <w:ind w:left="580" w:hanging="277"/>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stability;</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effective judicial system;</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favorable tax system;</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exchange control or currency restrictions; and</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professional and support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However, certain disadvantages accompany incorporation in the Cayman Islands. These disadvantages include, but are not limited to, the following:</w:t>
      </w:r>
    </w:p>
    <w:p>
      <w:pPr>
        <w:spacing w:after="0" w:line="201" w:lineRule="exact"/>
        <w:rPr>
          <w:sz w:val="20"/>
          <w:szCs w:val="20"/>
          <w:color w:val="auto"/>
        </w:rPr>
      </w:pPr>
    </w:p>
    <w:p>
      <w:pPr>
        <w:ind w:left="580" w:hanging="277"/>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Cayman Islands has a less exhaustive body of securities laws than the United States and these securities laws provide significantly less protection to investors; and</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Cayman Islands companies may not have standing to sue before the federal courts of the United States.</w:t>
      </w:r>
    </w:p>
    <w:p>
      <w:pPr>
        <w:spacing w:after="0" w:line="2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Our constitutional documents do not contain provisions requiring that disputes, including those arising under the securities laws of the United States, between us, our officers, directors and shareholders, be arbitrated.</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To date, we have conducted a majority of our operations outside the United States, and a majority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Conyers Dill &amp; Pearman, our counsel as to Cayman Islands laws, has advised us that there is uncertainty as to whether the courts in the Cayman Islands would (1) recognize or enforce judgments of United States courts obtained against us or our directors or officers to impose liabilities against us predicated upon the civil liability provisions of the securities laws of the United States or any state in the United States; or (2) entertain original actions brought in each respective jurisdiction against us or our directors or officers predicated upon the federal securities laws of the United States or the securities laws of any state in the United States.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w:t>
      </w:r>
      <w:r>
        <w:rPr>
          <w:rFonts w:ascii="Times New Roman" w:cs="Times New Roman" w:eastAsia="Times New Roman" w:hAnsi="Times New Roman"/>
          <w:sz w:val="14"/>
          <w:szCs w:val="14"/>
          <w:i w:val="1"/>
          <w:iCs w:val="1"/>
          <w:color w:val="auto"/>
        </w:rPr>
        <w:t>in personam</w:t>
      </w:r>
      <w:r>
        <w:rPr>
          <w:rFonts w:ascii="Times New Roman" w:cs="Times New Roman" w:eastAsia="Times New Roman" w:hAnsi="Times New Roman"/>
          <w:sz w:val="14"/>
          <w:szCs w:val="14"/>
          <w:color w:val="auto"/>
        </w:rPr>
        <w:t xml:space="preserve"> obtained in the federal or state courts in the United States under which a sum of money is payable (other than a sum of money payable in respect of multiple damages, taxes or other charges of a like nature or in respect of a fine or other penalty) or, in certain circumstances, an </w:t>
      </w:r>
      <w:r>
        <w:rPr>
          <w:rFonts w:ascii="Times New Roman" w:cs="Times New Roman" w:eastAsia="Times New Roman" w:hAnsi="Times New Roman"/>
          <w:sz w:val="14"/>
          <w:szCs w:val="14"/>
          <w:i w:val="1"/>
          <w:iCs w:val="1"/>
          <w:color w:val="auto"/>
        </w:rPr>
        <w:t>in personam</w:t>
      </w:r>
      <w:r>
        <w:rPr>
          <w:rFonts w:ascii="Times New Roman" w:cs="Times New Roman" w:eastAsia="Times New Roman" w:hAnsi="Times New Roman"/>
          <w:sz w:val="14"/>
          <w:szCs w:val="14"/>
          <w:color w:val="auto"/>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punitive judgment of a United States court predicated upon the civil liability provisions of the federal securities laws in the United States without retrial on the merits if such judgment is determined by the courts of the Cayman Islands to give rise to obligations to make payments that may be regarded as fines, penalties or punitive in nature. Because such a determination has not yet been made by a court of the Cayman Islands, it is uncertain whether such civil liability judgments from United States courts would be enforceable in the Cayman Islands. A Cayman Islands court may stay enforcement proceedings if concurrent proceedings are being brought elsewhere.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PRC</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Jingtian &amp; Gongcheng, our counsel as to PRC laws, has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PRC does not have any treaties or other agreements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spacing w:after="0" w:line="3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 a detailed description of risks related to enforceability of civil liabilities, see the section of the risk factors included in our Annual Report entitled “Item 3.D. Key Information—Risk Factors— Risks Relating to Our Securities—Certain judgments obtained against us by our shareholders may not be enforceable” and “—You may face difficulties in protecting your interests in the Company, and your ability to protect your rights through U.S. courts may be limited, because we are incorporated under Cayman Islands law and conduct our operations primarily in emerging markets.”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8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7" w:name="page18"/>
    <w:bookmarkEnd w:id="17"/>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THE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issue, offer and sell from time to time, in one or more offerings, the following securities:</w:t>
      </w:r>
    </w:p>
    <w:p>
      <w:pPr>
        <w:spacing w:after="0" w:line="201" w:lineRule="exact"/>
        <w:rPr>
          <w:sz w:val="20"/>
          <w:szCs w:val="20"/>
          <w:color w:val="auto"/>
        </w:rPr>
      </w:pPr>
    </w:p>
    <w:p>
      <w:pPr>
        <w:ind w:left="600" w:hanging="297"/>
        <w:spacing w:after="0"/>
        <w:tabs>
          <w:tab w:leader="none" w:pos="6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ordinary shares;</w:t>
      </w:r>
    </w:p>
    <w:p>
      <w:pPr>
        <w:spacing w:after="0" w:line="222" w:lineRule="exact"/>
        <w:rPr>
          <w:rFonts w:ascii="Times New Roman" w:cs="Times New Roman" w:eastAsia="Times New Roman" w:hAnsi="Times New Roman"/>
          <w:sz w:val="14"/>
          <w:szCs w:val="14"/>
          <w:color w:val="auto"/>
        </w:rPr>
      </w:pPr>
    </w:p>
    <w:p>
      <w:pPr>
        <w:ind w:left="600" w:hanging="297"/>
        <w:spacing w:after="0"/>
        <w:tabs>
          <w:tab w:leader="none" w:pos="6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222" w:lineRule="exact"/>
        <w:rPr>
          <w:rFonts w:ascii="Times New Roman" w:cs="Times New Roman" w:eastAsia="Times New Roman" w:hAnsi="Times New Roman"/>
          <w:sz w:val="14"/>
          <w:szCs w:val="14"/>
          <w:color w:val="auto"/>
        </w:rPr>
      </w:pPr>
    </w:p>
    <w:p>
      <w:pPr>
        <w:ind w:left="600" w:hanging="297"/>
        <w:spacing w:after="0"/>
        <w:tabs>
          <w:tab w:leader="none" w:pos="6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Class A ordinary shares or debt securities;</w:t>
      </w:r>
    </w:p>
    <w:p>
      <w:pPr>
        <w:spacing w:after="0" w:line="222" w:lineRule="exact"/>
        <w:rPr>
          <w:rFonts w:ascii="Times New Roman" w:cs="Times New Roman" w:eastAsia="Times New Roman" w:hAnsi="Times New Roman"/>
          <w:sz w:val="14"/>
          <w:szCs w:val="14"/>
          <w:color w:val="auto"/>
        </w:rPr>
      </w:pPr>
    </w:p>
    <w:p>
      <w:pPr>
        <w:ind w:left="600" w:hanging="297"/>
        <w:spacing w:after="0"/>
        <w:tabs>
          <w:tab w:leader="none" w:pos="6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rights to purchase Class A ordinary shares or debt securities; and</w:t>
      </w:r>
    </w:p>
    <w:p>
      <w:pPr>
        <w:spacing w:after="0" w:line="222" w:lineRule="exact"/>
        <w:rPr>
          <w:rFonts w:ascii="Times New Roman" w:cs="Times New Roman" w:eastAsia="Times New Roman" w:hAnsi="Times New Roman"/>
          <w:sz w:val="14"/>
          <w:szCs w:val="14"/>
          <w:color w:val="auto"/>
        </w:rPr>
      </w:pPr>
    </w:p>
    <w:p>
      <w:pPr>
        <w:ind w:left="600" w:right="40" w:hanging="297"/>
        <w:spacing w:after="0" w:line="289" w:lineRule="auto"/>
        <w:tabs>
          <w:tab w:leader="none" w:pos="6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any combination of Class A ordinary shares, debt securities, warrants to purchase Class A ordinary shares or debt securities and/or subscription rights to purchase Class A ordinary shares or debt securities.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following is a description of the terms and provisions of our ordinary shares, debt securities, warrants to purchase Class A ordinary shares or debt securities, subscription rights to purchase Class A ordinary shares or debt securities and units consisting of any combination of Class A ordinary shares, debt securities, warrants to purchase Class A ordinary shares or debt securities and/or subscription rights to purchase Class A ordinary shares or debt securities, which we may offer and sell using this prospectus. These summaries are not meant to be a complete description of each security. We will set forth in the applicable prospectus supplement a description of the securities that may be offered under this prospectus. The terms of the offering of securities, the initial offering price and the net proceeds to us, as applicable, will be contained in the prospectus supplement and other offering material relating to such offering. The prospectus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We are a Cayman Islands exempted company and our affairs are governed by our second amended and restated articles of association (“Articles”) and the Companies Act (As Revised) of the Cayman Islands (the “Companies Act”).</w:t>
      </w:r>
    </w:p>
    <w:p>
      <w:pPr>
        <w:spacing w:after="0" w:line="1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our second amended and restated memorandum of association, the objects of our company are unrestricted and we have the full power and authority to carry out any object not prohibited by the law of the Cayman Islands. Our authorized share capital is 12,666,666.66 ordinary shares consisting of (a) 11,112,473.90 Class A ordinary shares and (b) 1,554,192.76 Class B ordinary shares, HK$0.03 par value per share.</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April 24, 2026, there were 4,989,746.22 Class A ordinary shares and 1,554,192 Class B ordinary shares issued and outstanding. Our issued and outstanding ordinary shares consist of Class A ordinary shares and Class B ordinary shares. All of our outstanding ordinary shares, which consist of Class A ordinary shares and Class B ordinary shares, are fully paid and non-assessable. Certificates representing the ordinary shares are issued in registered form. Our shareholders who are non-residents of the Cayman Islands may freely hold and transfer their ordinary shares.</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 xml:space="preserve">Holders of our Class A ordinary shares and Class B ordinary shares have the same rights except for voting and conversion rights. The Class A ordinary shares and Class B ordinary shares carry equal rights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one another, including the rights to dividends and other capital distributions.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Each Class B ordinary share is convertible into one Class A ordinary share at any time by the holder thereof. Class A ordinary shares are not convertible into Class B ordinary shares under any circumstances. Upon any sale of Class B ordinary shares by a holder thereof to any person or entity that is not ultimately controlled by the Founder (as defined in our Articles), such Class B ordinary shares will be automatically and immediately converted into an equal number of Class A ordinary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a show of hands each shareholder is entitled to one vote or, on a poll, each shareholder is entitled to one vote for each Class A ordinary share and 20 votes for each Class B ordinary share, voting together as a single class,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poll may be demanded by the chairman of such meeting or any shareholder present in person or by proxy.</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2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An ordinary resolution to be passed at a general meeting requires the affirmative vote of a simple majority of the votes cast, while a special resolution requires the affirmative vote of at least two-thirds of votes attached to all outstanding ordinary shares cast at a general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ordinary shares are listed on Nasdaq under the symbol “EBON.”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transfer agent and registrar for the Class A ordinary shares is VStock Transfer, LLC, a California limited liability company with its business address at 18 Lafayette Place, Woodmere, New York 11598.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Meetings of Shareholders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Articles provides that our company may (but shall not be obligated to) hold an annual general meeting of shareholders in each calendar year, subject to Cayman Islands laws and the Nasdaq Rules, in which case we shall specify the meeting as such in the notices calling it, and the annual general meeting shall be held as a physical meeting in any part of the world and/or at one or more locations or as a hybrid meeting or as an electronic meeting, at such time and place as may be determined by our directors.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Shareholders’ meetings may be convened by a majority of our board of directors or the chairman of our board of directors. Advance notice of at least ten clear days (as defined in the Articles) is required for the convening of our annual general meeting and any other general meeting of our shareholders. Notwithstanding that a meeting is called by shorter notice than that mentioned above, but, subject to the Companies Act, it will be deemed to have been duly called, if it is so agreed (1) in the case of a meeting called as an annual general meeting by all of our shareholders entitled to attend and vote at the meeting; and (2) in the case of any other meeting, by a majority in number of the shareholders holding not less than 95% in nominal value of the issued shares giving that right.</w:t>
      </w:r>
    </w:p>
    <w:p>
      <w:pPr>
        <w:spacing w:after="0" w:line="1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No business other than the appointment of a chairman may be transacted at any general meeting unless a quorum is present at the commencement of business. However, the absence of a quorum will not preclude the appointment of a chairman. If present, the chairman of our board of directors shall be the chairman presiding at any shareholders’ meetings.</w:t>
      </w:r>
    </w:p>
    <w:p>
      <w:pPr>
        <w:spacing w:after="0" w:line="1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corporation being a shareholder shall be deemed for the purpose of our Articles to be present in person if represented by its duly authorized representative being the person appointed by resolution of the directors or other governing body of such corporation to act as its representative at the relevant general meeting or at any relevant general meeting of any class of our shareholders. Such duly authorized representative shall be entitled to exercise the same powers on behalf of the corporation that he represents as that corporation could exercise if it were our individual shareholder.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directors may also pay interim dividends, whenever our financial position, in the opinion of our directors, justifies such payment.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directors may deduct from any dividend or bonus payable to any shareholder all sums of money (if any) presently payable by such shareholder to us on account of calls or otherwise.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4"/>
          <w:szCs w:val="14"/>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spacing w:after="0" w:line="1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of Ordinary Shares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Subject to any applicable restrictions set forth in our Articles,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Global Select Market or in another form that our directors may approve.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directors may decline to register any transfer of any share which is not paid up or on which we have a lien. Our directors may also decline to register any transfer of any share unless:</w:t>
      </w:r>
    </w:p>
    <w:p>
      <w:pPr>
        <w:spacing w:after="0" w:line="201" w:lineRule="exact"/>
        <w:rPr>
          <w:sz w:val="20"/>
          <w:szCs w:val="20"/>
          <w:color w:val="auto"/>
        </w:rPr>
      </w:pPr>
    </w:p>
    <w:p>
      <w:pPr>
        <w:ind w:left="580" w:right="20" w:hanging="277"/>
        <w:spacing w:after="0" w:line="289" w:lineRule="auto"/>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66"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in respect of only one class of share;</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properly stamped (in circumstances where stamping is required); and</w:t>
      </w:r>
    </w:p>
    <w:p>
      <w:pPr>
        <w:spacing w:after="0" w:line="222" w:lineRule="exact"/>
        <w:rPr>
          <w:rFonts w:ascii="Times New Roman" w:cs="Times New Roman" w:eastAsia="Times New Roman" w:hAnsi="Times New Roman"/>
          <w:sz w:val="14"/>
          <w:szCs w:val="14"/>
          <w:color w:val="auto"/>
        </w:rPr>
      </w:pPr>
    </w:p>
    <w:p>
      <w:pPr>
        <w:ind w:left="580" w:right="20" w:hanging="277"/>
        <w:spacing w:after="0" w:line="289" w:lineRule="auto"/>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fee of such maximum sum as the Nasdaq Global Select Market may determine to be payable or such lesser sum as our directors may from time to time require is paid to us in respect thereof.</w:t>
      </w:r>
    </w:p>
    <w:p>
      <w:pPr>
        <w:spacing w:after="0" w:line="14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If our directors refuse to register a transfer they shall, within three months after the date on which the instrument of transfer was lodged, send to each of the transferor and the transferee notice of such refusal.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 w:name="page22"/>
    <w:bookmarkEnd w:id="21"/>
    <w:p>
      <w:pPr>
        <w:jc w:val="both"/>
        <w:spacing w:after="0" w:line="271" w:lineRule="auto"/>
        <w:rPr>
          <w:sz w:val="20"/>
          <w:szCs w:val="20"/>
          <w:color w:val="auto"/>
        </w:rPr>
      </w:pPr>
      <w:r>
        <w:rPr>
          <w:rFonts w:ascii="Times New Roman" w:cs="Times New Roman" w:eastAsia="Times New Roman" w:hAnsi="Times New Roman"/>
          <w:sz w:val="14"/>
          <w:szCs w:val="14"/>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consideration received by each holder of a Class A ordinary share and a holder of a Class B ordinary share will be the same in any liquidation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Calls on Ordinary Shares and Forfeiture of Ordinary Shares</w:t>
      </w:r>
    </w:p>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Subject to our Articles and to the terms of allotment,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of Shares, Repurchase and Surrender of Ordinary Shares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empowered by the Companies Act and our Articles to purchase our own shares, subject to certain restrictions. Our directors may only exercise this power on our behalf, subject to the Companies Act, our Articles and to any applicable requirements imposed from time to time by the Nasdaq Global Select Market, the SEC, or by any other recognized stock exchange on which our securities are listed.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also repurchase any of our shares on such terms and in such manner as have been approved by our board of directors.</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Variations of Rights of Shares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such existing class of shares.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Additional Shares</w:t>
      </w:r>
    </w:p>
    <w:p>
      <w:pPr>
        <w:spacing w:after="0" w:line="184" w:lineRule="exact"/>
        <w:rPr>
          <w:sz w:val="20"/>
          <w:szCs w:val="20"/>
          <w:color w:val="auto"/>
        </w:rPr>
      </w:pPr>
    </w:p>
    <w:p>
      <w:pPr>
        <w:ind w:firstLine="256"/>
        <w:spacing w:after="0" w:line="264" w:lineRule="auto"/>
        <w:rPr>
          <w:sz w:val="20"/>
          <w:szCs w:val="20"/>
          <w:color w:val="auto"/>
        </w:rPr>
      </w:pPr>
      <w:r>
        <w:rPr>
          <w:rFonts w:ascii="Times New Roman" w:cs="Times New Roman" w:eastAsia="Times New Roman" w:hAnsi="Times New Roman"/>
          <w:sz w:val="14"/>
          <w:szCs w:val="14"/>
          <w:color w:val="auto"/>
        </w:rPr>
        <w:t>Our Articles authorize our board of directors to issue additional ordinary shares from time to time as our board of directors shall determine, to the extent of available authorized but unissued shares.</w:t>
      </w:r>
    </w:p>
    <w:p>
      <w:pPr>
        <w:spacing w:after="0" w:line="334" w:lineRule="exact"/>
        <w:rPr>
          <w:sz w:val="20"/>
          <w:szCs w:val="20"/>
          <w:color w:val="auto"/>
        </w:rPr>
      </w:pPr>
    </w:p>
    <w:p>
      <w:pPr>
        <w:ind w:firstLine="256"/>
        <w:spacing w:after="0" w:line="289" w:lineRule="auto"/>
        <w:rPr>
          <w:sz w:val="20"/>
          <w:szCs w:val="20"/>
          <w:color w:val="auto"/>
        </w:rPr>
      </w:pPr>
      <w:r>
        <w:rPr>
          <w:rFonts w:ascii="Times New Roman" w:cs="Times New Roman" w:eastAsia="Times New Roman" w:hAnsi="Times New Roman"/>
          <w:sz w:val="14"/>
          <w:szCs w:val="14"/>
          <w:color w:val="auto"/>
        </w:rPr>
        <w:t>Our Articles also authorize our board of directors to establish from time to time one or more series of preference shares and to determine, with respect to any series of preference shares, the terms and rights of that series, including:</w:t>
      </w:r>
    </w:p>
    <w:p>
      <w:pPr>
        <w:spacing w:after="0" w:line="145" w:lineRule="exact"/>
        <w:rPr>
          <w:sz w:val="20"/>
          <w:szCs w:val="20"/>
          <w:color w:val="auto"/>
        </w:rPr>
      </w:pPr>
    </w:p>
    <w:p>
      <w:pPr>
        <w:ind w:left="580" w:hanging="277"/>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rights, dividend rates, conversion rights, voting rights; and</w:t>
      </w:r>
    </w:p>
    <w:p>
      <w:pPr>
        <w:spacing w:after="0" w:line="222" w:lineRule="exact"/>
        <w:rPr>
          <w:rFonts w:ascii="Times New Roman" w:cs="Times New Roman" w:eastAsia="Times New Roman" w:hAnsi="Times New Roman"/>
          <w:sz w:val="14"/>
          <w:szCs w:val="14"/>
          <w:color w:val="auto"/>
        </w:rPr>
      </w:pPr>
    </w:p>
    <w:p>
      <w:pPr>
        <w:ind w:left="580" w:hanging="277"/>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and terms of redemption and liquidation preferences.</w:t>
      </w:r>
    </w:p>
    <w:p>
      <w:pPr>
        <w:spacing w:after="0" w:line="201" w:lineRule="exact"/>
        <w:rPr>
          <w:sz w:val="20"/>
          <w:szCs w:val="20"/>
          <w:color w:val="auto"/>
        </w:rPr>
      </w:pPr>
    </w:p>
    <w:p>
      <w:pPr>
        <w:jc w:val="both"/>
        <w:ind w:firstLine="256"/>
        <w:spacing w:after="0" w:line="289" w:lineRule="auto"/>
        <w:rPr>
          <w:sz w:val="20"/>
          <w:szCs w:val="20"/>
          <w:color w:val="auto"/>
        </w:rPr>
      </w:pPr>
      <w:r>
        <w:rPr>
          <w:rFonts w:ascii="Times New Roman" w:cs="Times New Roman" w:eastAsia="Times New Roman" w:hAnsi="Times New Roman"/>
          <w:sz w:val="14"/>
          <w:szCs w:val="14"/>
          <w:color w:val="auto"/>
        </w:rPr>
        <w:t>Our board of directors may issue preference shares without action by our shareholders to the extent authorized but unissued. Issuance of these shares may dilute the voting power of holders of ordinary shares.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Some provisions of our Articles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However, under Cayman Islands law, our directors may only exercise the rights and powers granted to them under our Articles for a proper purpose and for what they believe in good faith to be in the best interests of our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Alteration of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from time to time by ordinary resolution in accordance with the Companies Act alter the conditions of our Articles to:</w:t>
      </w:r>
    </w:p>
    <w:p>
      <w:pPr>
        <w:spacing w:after="0" w:line="201" w:lineRule="exact"/>
        <w:rPr>
          <w:sz w:val="20"/>
          <w:szCs w:val="20"/>
          <w:color w:val="auto"/>
        </w:rPr>
      </w:pPr>
    </w:p>
    <w:p>
      <w:pPr>
        <w:ind w:left="600" w:hanging="286"/>
        <w:spacing w:after="0"/>
        <w:tabs>
          <w:tab w:leader="none" w:pos="6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capital by such sum, to be divided into shares of such amounts, as the resolution shall prescribe;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and divide all or any of our share capital into shares of larger amounts than our existing shares;</w:t>
      </w:r>
    </w:p>
    <w:p>
      <w:pPr>
        <w:spacing w:after="0" w:line="222" w:lineRule="exact"/>
        <w:rPr>
          <w:rFonts w:ascii="Times New Roman" w:cs="Times New Roman" w:eastAsia="Times New Roman" w:hAnsi="Times New Roman"/>
          <w:sz w:val="14"/>
          <w:szCs w:val="14"/>
          <w:color w:val="auto"/>
        </w:rPr>
      </w:pPr>
    </w:p>
    <w:p>
      <w:pPr>
        <w:ind w:left="600" w:right="40" w:hanging="286"/>
        <w:spacing w:after="0" w:line="289" w:lineRule="auto"/>
        <w:tabs>
          <w:tab w:leader="none" w:pos="6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any shares which at the date of the passing of the resolution have not been taken or agreed to be taken by any person, and diminish the amount of its share capital by the amount of the shares so cancelled subject to the provisions of the Companies Act;</w:t>
      </w:r>
    </w:p>
    <w:p>
      <w:pPr>
        <w:spacing w:after="0" w:line="166" w:lineRule="exact"/>
        <w:rPr>
          <w:rFonts w:ascii="Times New Roman" w:cs="Times New Roman" w:eastAsia="Times New Roman" w:hAnsi="Times New Roman"/>
          <w:sz w:val="14"/>
          <w:szCs w:val="14"/>
          <w:color w:val="auto"/>
        </w:rPr>
      </w:pPr>
    </w:p>
    <w:p>
      <w:pPr>
        <w:jc w:val="both"/>
        <w:ind w:left="600" w:right="40" w:hanging="286"/>
        <w:spacing w:after="0" w:line="271" w:lineRule="auto"/>
        <w:tabs>
          <w:tab w:leader="none" w:pos="6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our shares or any of them into shares of smaller amount than is fixed by our Articles, subject nevertheless to the Companies Act,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we have power to attach to unissued or new shares; and</w:t>
      </w:r>
    </w:p>
    <w:p>
      <w:pPr>
        <w:spacing w:after="0" w:line="178" w:lineRule="exact"/>
        <w:rPr>
          <w:rFonts w:ascii="Times New Roman" w:cs="Times New Roman" w:eastAsia="Times New Roman" w:hAnsi="Times New Roman"/>
          <w:sz w:val="14"/>
          <w:szCs w:val="14"/>
          <w:color w:val="auto"/>
        </w:rPr>
      </w:pPr>
    </w:p>
    <w:p>
      <w:pPr>
        <w:ind w:left="600" w:right="40" w:hanging="286"/>
        <w:spacing w:after="0" w:line="289" w:lineRule="auto"/>
        <w:tabs>
          <w:tab w:leader="none" w:pos="6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by special resolution, subject to any confirmation or consent required by the Companies Act, reduce our share capital or any capital redemption reserve in any manner authorized by law.</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Register of Members</w:t>
      </w:r>
    </w:p>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Exempted Company</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58" w:lineRule="exact"/>
        <w:rPr>
          <w:sz w:val="20"/>
          <w:szCs w:val="20"/>
          <w:color w:val="auto"/>
        </w:rPr>
      </w:pPr>
    </w:p>
    <w:p>
      <w:pPr>
        <w:ind w:left="600" w:hanging="286"/>
        <w:spacing w:after="0"/>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file an annual return of its shareholders with the Registrar of Companies;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memorandum and articles of association, is not required to open its register of members for inspection;</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memorandum and articles of association, does not have to hold an annual general meeting;</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issue shares with no par value;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obtain an undertaking against the imposition of any future taxation (such undertakings are usually given for twenty (20) years in the first instance);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by way of continuation in another jurisdiction and be deregistered in the Cayman Islands;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limited duration company; and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segregated portfolio company.</w:t>
      </w:r>
    </w:p>
    <w:p>
      <w:pPr>
        <w:spacing w:after="0" w:line="2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2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addition, the Companies Act differs from laws applicable to United States corporations and their shareholders. Set forth below is a summary of certain significant differences between the provisions of the Companies Act applicable to us and the laws applicable to United States corporations and companies incorporated in the State of Delaware.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Mergers and Similar Arrangements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4" w:name="page25"/>
    <w:bookmarkEnd w:id="24"/>
    <w:p>
      <w:pPr>
        <w:jc w:val="both"/>
        <w:spacing w:after="0" w:line="259" w:lineRule="auto"/>
        <w:rPr>
          <w:sz w:val="20"/>
          <w:szCs w:val="20"/>
          <w:color w:val="auto"/>
        </w:rPr>
      </w:pPr>
      <w:r>
        <w:rPr>
          <w:rFonts w:ascii="Times New Roman" w:cs="Times New Roman" w:eastAsia="Times New Roman" w:hAnsi="Times New Roman"/>
          <w:sz w:val="14"/>
          <w:szCs w:val="14"/>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consent of each holder of a fixed or floating security interest over a constituent company is required unless this requirement is waived by a court in the Cayman Islands.</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in the case of a members scheme, by seventy-five per cent in value of the members or class of members, as the case may be, with whom the arrangement is to be made and in the case of a creditors scheme, by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64" w:lineRule="exact"/>
        <w:rPr>
          <w:sz w:val="20"/>
          <w:szCs w:val="20"/>
          <w:color w:val="auto"/>
        </w:rPr>
      </w:pPr>
    </w:p>
    <w:p>
      <w:pPr>
        <w:ind w:left="600" w:hanging="286"/>
        <w:spacing w:after="0"/>
        <w:tabs>
          <w:tab w:leader="none" w:pos="6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provisions as to the required majority vote have been met;</w:t>
      </w:r>
    </w:p>
    <w:p>
      <w:pPr>
        <w:spacing w:after="0" w:line="222" w:lineRule="exact"/>
        <w:rPr>
          <w:rFonts w:ascii="Times New Roman" w:cs="Times New Roman" w:eastAsia="Times New Roman" w:hAnsi="Times New Roman"/>
          <w:sz w:val="14"/>
          <w:szCs w:val="14"/>
          <w:color w:val="auto"/>
        </w:rPr>
      </w:pPr>
    </w:p>
    <w:p>
      <w:pPr>
        <w:ind w:left="600" w:right="40" w:hanging="286"/>
        <w:spacing w:after="0" w:line="289" w:lineRule="auto"/>
        <w:tabs>
          <w:tab w:leader="none" w:pos="6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have been fairly represented at the meeting in question and the statutory majority are acting bona fide without coercion of the minority to promote interests adverse to those of the class;</w:t>
      </w:r>
    </w:p>
    <w:p>
      <w:pPr>
        <w:spacing w:after="0" w:line="166"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such that may be reasonably approved by an intelligent and honest man of that class acting in respect of his interest; and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not one that would more properly be sanctioned under some other provision of the Companies Act.</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5" w:name="page26"/>
    <w:bookmarkEnd w:id="25"/>
    <w:p>
      <w:pPr>
        <w:jc w:val="both"/>
        <w:spacing w:after="0" w:line="265" w:lineRule="auto"/>
        <w:rPr>
          <w:sz w:val="20"/>
          <w:szCs w:val="20"/>
          <w:color w:val="auto"/>
        </w:rPr>
      </w:pPr>
      <w:r>
        <w:rPr>
          <w:rFonts w:ascii="Times New Roman" w:cs="Times New Roman" w:eastAsia="Times New Roman" w:hAnsi="Times New Roman"/>
          <w:sz w:val="14"/>
          <w:szCs w:val="14"/>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Shareholders’ Suits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4"/>
          <w:szCs w:val="14"/>
          <w:i w:val="1"/>
          <w:iCs w:val="1"/>
          <w:color w:val="auto"/>
        </w:rPr>
        <w:t>Foss v. Harbottle</w:t>
      </w:r>
      <w:r>
        <w:rPr>
          <w:rFonts w:ascii="Times New Roman" w:cs="Times New Roman" w:eastAsia="Times New Roman" w:hAnsi="Times New Roman"/>
          <w:sz w:val="14"/>
          <w:szCs w:val="14"/>
          <w:color w:val="auto"/>
        </w:rPr>
        <w:t xml:space="preserve"> and the exceptions thereto) so that a non-controlling shareholder may be permitted to commence a class action against or derivative actions in the name of our company to challenge actions where:</w:t>
      </w:r>
    </w:p>
    <w:p>
      <w:pPr>
        <w:spacing w:after="0" w:line="162" w:lineRule="exact"/>
        <w:rPr>
          <w:sz w:val="20"/>
          <w:szCs w:val="20"/>
          <w:color w:val="auto"/>
        </w:rPr>
      </w:pPr>
    </w:p>
    <w:p>
      <w:pPr>
        <w:ind w:left="600" w:hanging="286"/>
        <w:spacing w:after="0"/>
        <w:tabs>
          <w:tab w:leader="none" w:pos="6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which is ultra vires or illegal and is therefore incapable of ratification by the shareholders;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complained of, although not ultra vires, could only be effected if duly authorized by more than a simple majority vote that has not been obtained; and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which constitutes a fraud against the minority where the wrongdoers are themselves in control of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of Directors and Executive Officers and Limitation of Liability</w:t>
      </w:r>
    </w:p>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Articles permit indemnification of officers (but not including auditors) and directors for actions, charges, losses, damages, costs and expenses incurred in their capacities as such provided that such indemnity shall not extend to any matter in respect of any dishonesty or fraud of such directors or officers (but not including auditors). This standard of conduct is generally the same as permitted under the Delaware General Corporation Law for a Delaware corporation.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have entered into indemnification agreements with our directors and executive officers that provide such persons with additional indemnification beyond that provided in our Articles.</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Fiduciary Duties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6" w:name="page27"/>
    <w:bookmarkEnd w:id="26"/>
    <w:p>
      <w:pPr>
        <w:jc w:val="both"/>
        <w:spacing w:after="0" w:line="271" w:lineRule="auto"/>
        <w:rPr>
          <w:sz w:val="20"/>
          <w:szCs w:val="20"/>
          <w:color w:val="auto"/>
        </w:rPr>
      </w:pPr>
      <w:r>
        <w:rPr>
          <w:rFonts w:ascii="Times New Roman" w:cs="Times New Roman" w:eastAsia="Times New Roman" w:hAnsi="Times New Roman"/>
          <w:sz w:val="14"/>
          <w:szCs w:val="14"/>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45" w:lineRule="exact"/>
        <w:rPr>
          <w:sz w:val="20"/>
          <w:szCs w:val="20"/>
          <w:color w:val="auto"/>
        </w:rPr>
      </w:pPr>
    </w:p>
    <w:p>
      <w:pPr>
        <w:ind w:left="600" w:hanging="286"/>
        <w:spacing w:after="0"/>
        <w:tabs>
          <w:tab w:leader="none" w:pos="6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duty to act in good faith in the best interests of the company,</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duty not to make a personal profit based on his or her position as director (unless the company permits him or her to do so),</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duty not to put himself or herself in a position where the interests of the company conflict with his or her personal interest or his or her duty to a third party, and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duty to exercise powers for the purpose for which such powers were intended.</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 Action by Written Consent</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the Delaware General Corporation Law, a corporation 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Articles do not allow shareholders to act by written resolutions.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 Proposals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Cumulative Voting</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There are no prohibitions in relation to cumulative voting under the laws of the Cayman Islands but our Articles do not provide for cumulative voting. As a result, our shareholders are not afforded any less protections or rights on this issue than shareholders of a Delaware corporation.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w:t>
      </w:r>
    </w:p>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Articles, directors may be removed with or without cause, by an ordinary resolution of our shareholders.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Interested Shareholders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This statute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3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in the best interests of the company and for a proper purpose and not with the effect of constituting a fraud on the minority shareholders.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Dissolution; Winding Up</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Variation of Rights of Shares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Articles, if our share capital is divided into more than one class of shares, we may vary the rights attached to any class with sanction of a resolution passed by a majority of two-thirds of the votes cast at a separate meeting of the holders of the shares of that class.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of Governing Documents</w:t>
      </w:r>
    </w:p>
    <w:p>
      <w:pPr>
        <w:spacing w:after="0" w:line="18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Cayman Islands law, our Articles may only be amended with a special resolution of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Rights of Non-resident or Foreign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limitations imposed by our Articles on the rights of non-resident or foreign shareholders to hold or exercise voting rights on our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there are no provisions in our Articles governing the ownership threshold above which shareholder ownership must be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Inspection of Books and Records</w:t>
      </w:r>
    </w:p>
    <w:p>
      <w:pPr>
        <w:spacing w:after="0" w:line="18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Under the Delaware General Corporation Law, any shareholder of a corporation may for any proper purpose inspect or make copies of the corporation’s stock ledger, list of shareholders and other books and records.</w:t>
      </w:r>
    </w:p>
    <w:p>
      <w:pPr>
        <w:spacing w:after="0" w:line="12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Holders of our shares will have no general right under Cayman Islands law to inspect or obtain copies of our list of shareholders or our corporate records. However, we intend to provide our shareholders with annual reports containing audited financial statements. See “Where You Can Find Additional Information About Us.”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issue series of debt securities, which may include debt securities exchangeable for or convertible into Class A ordinary shares. The following is a summary of some general terms of the debt securities that we may offer by this prospectus and any applicable prospectus supplement. Because it is a summary, it does not contain all of the information that may be important to you. If you want more information, you should read the forms of indentures which we will file in connection with a particular offering and will be incorporated by reference into the registration statement of which this prospectus is a part. If we issue debt securities, we will file any additional final indentures, and any supplemental indentures or officer’s certificates related to the particular series of debt securities issued, with the SEC, and incorporate them by reference as an exhibit to the registration statement of which this prospectus is a part on or before the time we issue a series of debt securities, and you should read those documents for further information about the terms and provisions of such debt securities. See “Where You Can Find More Information About Us” and “Incorporation of Documents by Reference.” This summary is also subject to and qualified by reference to the descriptions of the particular terms of our debt securities to be described in the applicable prospectus supplement. The applicable prospectus supplement may add to, update or change the terms of such debt securities from those described below.</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debt securities sold under this prospectus will be direct obligations of our company and, unless otherwise stated in a prospectus supplement, will not be obligations of any of our subsidiaries. Such debt obligations may be secured or unsecured and may be senior or subordinated indebtedness. Our debt securities will be issued under one or more indentures between us and a trustee. Any indenture will be subject to and governed by the Trust Indenture Act of 1939, as amended (the “Trust Indenture Act”). The statements made in this prospectus relating to any future indentures and the debt securities to be issued under the indentures are summaries of certain anticipated provisions of the indentures and are not complete.</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initial offering price, the aggregate principal amount offered and the terms of the debt securities, including, among other things, the following:</w:t>
      </w:r>
    </w:p>
    <w:p>
      <w:pPr>
        <w:spacing w:after="0" w:line="158" w:lineRule="exact"/>
        <w:rPr>
          <w:sz w:val="20"/>
          <w:szCs w:val="20"/>
          <w:color w:val="auto"/>
        </w:rPr>
      </w:pPr>
    </w:p>
    <w:p>
      <w:pPr>
        <w:ind w:left="600" w:hanging="286"/>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aggregate principal amount) at which we will sell the debt securities;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we will repay the principal on the debt securities and the right, if any, to extend the maturity of the debt securities;</w:t>
      </w:r>
    </w:p>
    <w:p>
      <w:pPr>
        <w:spacing w:after="0" w:line="222" w:lineRule="exact"/>
        <w:rPr>
          <w:rFonts w:ascii="Times New Roman" w:cs="Times New Roman" w:eastAsia="Times New Roman" w:hAnsi="Times New Roman"/>
          <w:sz w:val="14"/>
          <w:szCs w:val="14"/>
          <w:color w:val="auto"/>
        </w:rPr>
      </w:pPr>
    </w:p>
    <w:p>
      <w:pPr>
        <w:jc w:val="both"/>
        <w:ind w:left="600" w:right="40" w:hanging="286"/>
        <w:spacing w:after="0" w:line="271" w:lineRule="auto"/>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p>
      <w:pPr>
        <w:spacing w:after="0" w:line="178" w:lineRule="exact"/>
        <w:rPr>
          <w:rFonts w:ascii="Times New Roman" w:cs="Times New Roman" w:eastAsia="Times New Roman" w:hAnsi="Times New Roman"/>
          <w:sz w:val="14"/>
          <w:szCs w:val="14"/>
          <w:color w:val="auto"/>
        </w:rPr>
      </w:pPr>
    </w:p>
    <w:p>
      <w:pPr>
        <w:ind w:left="600" w:right="40" w:hanging="286"/>
        <w:spacing w:after="0" w:line="289" w:lineRule="auto"/>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premium, and interest on the debt securities will be payable, and where the debt securities of the series that are convertible or exchangeable may be surrendered for conversion or exchange;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0" w:name="page31"/>
    <w:bookmarkEnd w:id="30"/>
    <w:p>
      <w:pPr>
        <w:ind w:left="286" w:right="20" w:hanging="286"/>
        <w:spacing w:after="0" w:line="289" w:lineRule="auto"/>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p>
      <w:pPr>
        <w:spacing w:after="0" w:line="166" w:lineRule="exact"/>
        <w:rPr>
          <w:rFonts w:ascii="Times New Roman" w:cs="Times New Roman" w:eastAsia="Times New Roman" w:hAnsi="Times New Roman"/>
          <w:sz w:val="14"/>
          <w:szCs w:val="14"/>
          <w:color w:val="auto"/>
        </w:rPr>
      </w:pPr>
    </w:p>
    <w:p>
      <w:pPr>
        <w:ind w:left="286" w:hanging="286"/>
        <w:spacing w:after="0" w:line="289" w:lineRule="auto"/>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p>
      <w:pPr>
        <w:spacing w:after="0" w:line="166"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w:t>
      </w:r>
    </w:p>
    <w:p>
      <w:pPr>
        <w:spacing w:after="0" w:line="222"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222"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222"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w:t>
      </w:r>
    </w:p>
    <w:p>
      <w:pPr>
        <w:spacing w:after="0" w:line="222"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222" w:lineRule="exact"/>
        <w:rPr>
          <w:rFonts w:ascii="Times New Roman" w:cs="Times New Roman" w:eastAsia="Times New Roman" w:hAnsi="Times New Roman"/>
          <w:sz w:val="14"/>
          <w:szCs w:val="14"/>
          <w:color w:val="auto"/>
        </w:rPr>
      </w:pPr>
    </w:p>
    <w:p>
      <w:pPr>
        <w:ind w:left="286" w:right="20" w:hanging="286"/>
        <w:spacing w:after="0" w:line="289" w:lineRule="auto"/>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66" w:lineRule="exact"/>
        <w:rPr>
          <w:rFonts w:ascii="Times New Roman" w:cs="Times New Roman" w:eastAsia="Times New Roman" w:hAnsi="Times New Roman"/>
          <w:sz w:val="14"/>
          <w:szCs w:val="14"/>
          <w:color w:val="auto"/>
        </w:rPr>
      </w:pPr>
    </w:p>
    <w:p>
      <w:pPr>
        <w:jc w:val="both"/>
        <w:ind w:left="286" w:right="20" w:hanging="286"/>
        <w:spacing w:after="0" w:line="271" w:lineRule="auto"/>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78"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222" w:lineRule="exact"/>
        <w:rPr>
          <w:rFonts w:ascii="Times New Roman" w:cs="Times New Roman" w:eastAsia="Times New Roman" w:hAnsi="Times New Roman"/>
          <w:sz w:val="14"/>
          <w:szCs w:val="14"/>
          <w:color w:val="auto"/>
        </w:rPr>
      </w:pPr>
    </w:p>
    <w:p>
      <w:pPr>
        <w:ind w:left="286" w:right="20" w:hanging="286"/>
        <w:spacing w:after="0" w:line="289" w:lineRule="auto"/>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described in the indenture with respect to the debt securities and any change in the acceleration provisions described in the indenture with respect to the debt securities;</w:t>
      </w:r>
    </w:p>
    <w:p>
      <w:pPr>
        <w:spacing w:after="0" w:line="166"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described in the indenture with respect to the debt securities;</w:t>
      </w:r>
    </w:p>
    <w:p>
      <w:pPr>
        <w:spacing w:after="0" w:line="222"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senior or subordinated and any applicable subordination provisions;</w:t>
      </w:r>
    </w:p>
    <w:p>
      <w:pPr>
        <w:spacing w:after="0" w:line="222"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material income tax considerations applicable to the debt securities;</w:t>
      </w:r>
    </w:p>
    <w:p>
      <w:pPr>
        <w:spacing w:after="0" w:line="222"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modify any provisions of the indenture as it applies to that series; and</w:t>
      </w:r>
    </w:p>
    <w:p>
      <w:pPr>
        <w:spacing w:after="0" w:line="222" w:lineRule="exact"/>
        <w:rPr>
          <w:rFonts w:ascii="Times New Roman" w:cs="Times New Roman" w:eastAsia="Times New Roman" w:hAnsi="Times New Roman"/>
          <w:sz w:val="14"/>
          <w:szCs w:val="14"/>
          <w:color w:val="auto"/>
        </w:rPr>
      </w:pPr>
    </w:p>
    <w:p>
      <w:pPr>
        <w:ind w:left="286" w:hanging="286"/>
        <w:spacing w:after="0"/>
        <w:tabs>
          <w:tab w:leader="none" w:pos="28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371" w:lineRule="exact"/>
        <w:rPr>
          <w:sz w:val="20"/>
          <w:szCs w:val="20"/>
          <w:color w:val="auto"/>
        </w:rPr>
      </w:pPr>
    </w:p>
    <w:p>
      <w:pPr>
        <w:jc w:val="center"/>
        <w:ind w:right="274"/>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15240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946"/>
          </w:cols>
          <w:pgMar w:left="614" w:top="317" w:right="339" w:bottom="1440" w:gutter="0" w:footer="0" w:header="0"/>
        </w:sectPr>
      </w:pPr>
    </w:p>
    <w:bookmarkStart w:id="31" w:name="page32"/>
    <w:bookmarkEnd w:id="31"/>
    <w:p>
      <w:pPr>
        <w:jc w:val="both"/>
        <w:spacing w:after="0" w:line="271" w:lineRule="auto"/>
        <w:rPr>
          <w:sz w:val="20"/>
          <w:szCs w:val="20"/>
          <w:color w:val="auto"/>
        </w:rPr>
      </w:pPr>
      <w:r>
        <w:rPr>
          <w:rFonts w:ascii="Times New Roman" w:cs="Times New Roman" w:eastAsia="Times New Roman" w:hAnsi="Times New Roman"/>
          <w:sz w:val="14"/>
          <w:szCs w:val="14"/>
          <w:color w:val="auto"/>
        </w:rPr>
        <w:t>We may issue debt securities that are exchangeable for and/or convertible into Class A ordinary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Class A ordinary shares to be received by the holders of debt securities would be calculated.</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may issue debt securities of a series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4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unless we otherwise specify in the applicable prospectus supplement.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may issue warrants to purchase our Class A ordinary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Warrants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12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12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145" w:lineRule="exact"/>
        <w:rPr>
          <w:sz w:val="20"/>
          <w:szCs w:val="20"/>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equity warrants;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offering price;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equity warrants and the aggregate amount of equity securities purchasable upon exercise of the equity warrants;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equity securities with which the equity warrants are issued, and the amount of equity warrants issued with each equity security;</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equity warrants and the related equity security will be separately transferable;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equity warrants that may be exercised at any one time;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equity warrants will commence and the date on which the right will expire;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United States federal income tax, accounting or other considerations applicable to the equity warrants;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equity warrants, if any;</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call provisions, if any, applicable to the equity warrants; and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equity warrants, including terms, procedures and limitations relating to the exchange and exercise of the equity warrants.</w:t>
      </w:r>
    </w:p>
    <w:p>
      <w:pPr>
        <w:spacing w:after="0" w:line="20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debt warrant issued by us will entitle its holder to purchase the debt securities designated at an exercise price set forth in, or to be determinable as set forth in, the related prospectus supplement.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Debt warrants may be issued separately or together with debt securities.</w:t>
      </w:r>
    </w:p>
    <w:p>
      <w:pPr>
        <w:spacing w:after="0" w:line="16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12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145" w:lineRule="exact"/>
        <w:rPr>
          <w:sz w:val="20"/>
          <w:szCs w:val="20"/>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warrants;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offering price;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aggregate principal amount and terms of the debt securities purchasable upon exercise of the debt warrants;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terms of any related debt securities with which the debt warrants are issued and the amount of the debt warrants issued with each debt security;</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debt warrants and the related debt securities will be separately transferable;</w:t>
      </w:r>
    </w:p>
    <w:p>
      <w:pPr>
        <w:spacing w:after="0" w:line="222" w:lineRule="exact"/>
        <w:rPr>
          <w:rFonts w:ascii="Times New Roman" w:cs="Times New Roman" w:eastAsia="Times New Roman" w:hAnsi="Times New Roman"/>
          <w:sz w:val="14"/>
          <w:szCs w:val="14"/>
          <w:color w:val="auto"/>
        </w:rPr>
      </w:pPr>
    </w:p>
    <w:p>
      <w:pPr>
        <w:ind w:left="600" w:right="40" w:hanging="286"/>
        <w:spacing w:after="0" w:line="289" w:lineRule="auto"/>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purchasable upon exercise of each debt warrant and the price at which that principal amount of debt securities may be purchased upon exercise of each debt warrant;</w:t>
      </w:r>
    </w:p>
    <w:p>
      <w:pPr>
        <w:spacing w:after="0" w:line="166"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warrants that may be exercised at any one time;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debt warrants will commence and the date on which the right will expire;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United States federal income tax, accounting or other considerations applicable to the debt warrants;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warrants represented by the debt warrant certificates will be issued in registered or bearer form, and, if registered, where they may be transferred and registered;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debt warrants, if any;</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call provisions, if any, applicable to the debt warrants; and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debt warrants, including terms, procedures and limitations relating to the exchange and exercise of the debt warrants.</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SUBSCRIPTION RIGHTS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may issue subscription rights to purchase our Class A ordinary shares or debt securities. These subscription rights may be offered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 or other purchasers may be required to purchase any securities remaining unsubscribed for after such offering.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relating to any subscription rights we offer, if any, will, to the extent applicable, include specific terms relating to the offering, including some or all of the following:</w:t>
      </w:r>
    </w:p>
    <w:p>
      <w:pPr>
        <w:spacing w:after="0" w:line="201" w:lineRule="exact"/>
        <w:rPr>
          <w:sz w:val="20"/>
          <w:szCs w:val="20"/>
          <w:color w:val="auto"/>
        </w:rPr>
      </w:pPr>
    </w:p>
    <w:p>
      <w:pPr>
        <w:ind w:left="600" w:hanging="2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our Class A ordinary shares or debt securities upon the exercise of the subscription rights;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subscription rights to be issued to each shareholder;</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our Class A ordinary shares or debt securities which may be purchased per each subscription right;</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subscription rights are transferable;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shall commence, and the date on which the subscription rights shall expire;</w:t>
      </w:r>
    </w:p>
    <w:p>
      <w:pPr>
        <w:spacing w:after="0" w:line="222" w:lineRule="exact"/>
        <w:rPr>
          <w:rFonts w:ascii="Times New Roman" w:cs="Times New Roman" w:eastAsia="Times New Roman" w:hAnsi="Times New Roman"/>
          <w:sz w:val="14"/>
          <w:szCs w:val="14"/>
          <w:color w:val="auto"/>
        </w:rPr>
      </w:pPr>
    </w:p>
    <w:p>
      <w:pPr>
        <w:ind w:left="600" w:right="40" w:hanging="286"/>
        <w:spacing w:after="0" w:line="289" w:lineRule="auto"/>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 or an over-allotment privilege to the extent the securities are fully subscribed; and</w:t>
      </w:r>
    </w:p>
    <w:p>
      <w:pPr>
        <w:spacing w:after="0" w:line="166"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which may be entered into by the Company in connection with the offering of subscription rights.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may issue units comprising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such unit may not be held or transferred separately, at any time or at any time before a specified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applicable prospectus supplement will describe:</w:t>
      </w:r>
    </w:p>
    <w:p>
      <w:pPr>
        <w:spacing w:after="0" w:line="201" w:lineRule="exact"/>
        <w:rPr>
          <w:sz w:val="20"/>
          <w:szCs w:val="20"/>
          <w:color w:val="auto"/>
        </w:rPr>
      </w:pPr>
    </w:p>
    <w:p>
      <w:pPr>
        <w:ind w:left="600" w:hanging="286"/>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unit agreement under which the units will be issued;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w:t>
      </w:r>
    </w:p>
    <w:p>
      <w:pPr>
        <w:spacing w:after="0" w:line="20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sell or distribute the securities offered by this prospectus, from time to time, in one or more offerings, as follows:</w:t>
      </w:r>
    </w:p>
    <w:p>
      <w:pPr>
        <w:spacing w:after="0" w:line="201" w:lineRule="exact"/>
        <w:rPr>
          <w:sz w:val="20"/>
          <w:szCs w:val="20"/>
          <w:color w:val="auto"/>
        </w:rPr>
      </w:pPr>
    </w:p>
    <w:p>
      <w:pPr>
        <w:ind w:left="600" w:hanging="286"/>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dealers or underwriters for resale;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within the meaning of Rule 415(a)(4) of the Securities Act, to or through a market maker or into an existing trading market, on an exchange or otherwise; or</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with respect to the securities may state or supplement the terms of the offering of the securities.</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securities distributed by any of these methods may be sold to the public, in one or more transactions, either:</w:t>
      </w:r>
    </w:p>
    <w:p>
      <w:pPr>
        <w:spacing w:after="0" w:line="201" w:lineRule="exact"/>
        <w:rPr>
          <w:sz w:val="20"/>
          <w:szCs w:val="20"/>
          <w:color w:val="auto"/>
        </w:rPr>
      </w:pPr>
    </w:p>
    <w:p>
      <w:pPr>
        <w:ind w:left="600" w:hanging="286"/>
        <w:spacing w:after="0"/>
        <w:tabs>
          <w:tab w:leader="none" w:pos="6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222" w:lineRule="exact"/>
        <w:rPr>
          <w:rFonts w:ascii="Times New Roman" w:cs="Times New Roman" w:eastAsia="Times New Roman" w:hAnsi="Times New Roman"/>
          <w:sz w:val="14"/>
          <w:szCs w:val="14"/>
          <w:color w:val="auto"/>
        </w:rPr>
      </w:pPr>
    </w:p>
    <w:p>
      <w:pPr>
        <w:ind w:left="600" w:hanging="286"/>
        <w:spacing w:after="0"/>
        <w:tabs>
          <w:tab w:leader="none" w:pos="6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If dealers are used in the sale of securities offered through this prospectus, we will sell the securities to them as principals. They may then resell those securities to the public at varying prices determined by the dealers at the time of resale. The applicable prospectus supplement will include the names of the dealers and the terms of the transaction.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will agree to use its commonly reasonable efforts to solicit purchases for the period of its appointment. We may sell the securities directly to institutional investors or others who may be deemed to be underwriters within the meaning of the Securities Act with respect to any sale of those shares. The terms of any such sales will be described in the applicable prospectus supplement.</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Offered securities may be sold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supplement relating to that offering. Unless otherwise specified in connection with a particular offering of securities, any such agent will be acting on a best efforts basis for the period of its appointment.</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As one of the means of direct issuance of offered securities, we may utilize the services of an entity through which it may conduct an electronic “dutch auction” or similar offering of the offered securities among potential purchasers who are eligible to participate in the auction or offering of such offered securities, if so described in the applicable prospectus supplement.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the applicable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Making, Stabilization and Other Transactions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Derivative Transactions and Hedging</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of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loan or pledge securities to a financial institution or other third parties that in turn may sell the securities using this prospectus and an applicable prospectus supplement.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Underwriters, dealers and agents may be entitled, under agreements with us, to indemnification by us relating to material misstatements and omissions in our offering documents. Underwriters, dealers and agents may engage in transactions with, or perform services for, us in their ordinary course of business.</w:t>
      </w:r>
    </w:p>
    <w:p>
      <w:pPr>
        <w:spacing w:after="0" w:line="1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Except for securities issued upon a reopening of a previous series, each series of offered securities will be a new issue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securities exchange. No assurance can be given that there will be a market for the offered securities.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set forth in the applicable prospectus supplement, the validity of the Class A ordinary shares, to the extent governed by Cayman Islands law, will be passed upon by Conyers Dill</w:t>
      </w:r>
    </w:p>
    <w:p>
      <w:pPr>
        <w:spacing w:after="0" w:line="23" w:lineRule="exact"/>
        <w:rPr>
          <w:sz w:val="20"/>
          <w:szCs w:val="20"/>
          <w:color w:val="auto"/>
        </w:rPr>
      </w:pPr>
    </w:p>
    <w:p>
      <w:pPr>
        <w:jc w:val="both"/>
        <w:ind w:firstLine="5"/>
        <w:spacing w:after="0" w:line="261" w:lineRule="auto"/>
        <w:tabs>
          <w:tab w:leader="none" w:pos="14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Pearman, our legal counsel as to Cayman Islands law. The Company is represented by Loeb &amp; Loeb LLP with respect to United States federal securities and New York State law and is represented by Jingtian &amp; Gongcheng with respect to PRC law. If legal matters in connection with offerings made pursuant to this prospectus are passed upon by counsel to underwriters, dealers or agents, such counsel will be named in the applicable prospectus supplement relating to any such offering.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consolidated balance sheets of Ebang International Holdings Inc. as of December 31, 2025 and 2024, and the related financial statements for each of the years in the three-year period ended December 31, 2025, have been incorporated by reference herein and in the registration statement in reliance upon the report of MaloneBailey, LLP, an independent registered public accounting firm, appearing elsewhere herein, and upon the authority of said firm as experts in accounting and auditing. MaloneBailey, LLP has been our independent auditor since 2019.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registered business address of MaloneBailey, LLP is located at 10370 Richmond Avenue, Suite 600, Houston, TX 77042.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INDEMNIFICATION OF DIRECTORS AND OFFICERS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Articles permit indemnification of officers (but not including auditors) and directors for actions, charges, losses, damages, costs and expenses incurred in their capacities as such provided that such indemnity shall not extend to any matter in respect of any dishonesty or fraud of such directors or officers (but not including auditors). This standard of conduct is generally the same as permitted under the Delaware General Corporation Law for a Delaware corporation.</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underwriting agreement entered into in connection with an offering of securities will also provide for indemnification of us and our officers and directors in certain cases.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EXHIBITS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to this Registration Statement are listed on the Index to Exhibits to this Registration Statement, which Index to Exhibits is hereby incorporated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182" w:lineRule="exact"/>
        <w:rPr>
          <w:sz w:val="20"/>
          <w:szCs w:val="20"/>
          <w:color w:val="auto"/>
        </w:rPr>
      </w:pPr>
    </w:p>
    <w:p>
      <w:pPr>
        <w:ind w:left="280" w:hanging="275"/>
        <w:spacing w:after="0"/>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7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9" w:lineRule="exact"/>
        <w:rPr>
          <w:rFonts w:ascii="Times New Roman" w:cs="Times New Roman" w:eastAsia="Times New Roman" w:hAnsi="Times New Roman"/>
          <w:sz w:val="14"/>
          <w:szCs w:val="14"/>
          <w:color w:val="auto"/>
        </w:rPr>
      </w:pPr>
    </w:p>
    <w:p>
      <w:pPr>
        <w:ind w:left="780" w:hanging="264"/>
        <w:spacing w:after="0"/>
        <w:tabs>
          <w:tab w:leader="none" w:pos="780"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79" w:lineRule="exact"/>
        <w:rPr>
          <w:rFonts w:ascii="Times New Roman" w:cs="Times New Roman" w:eastAsia="Times New Roman" w:hAnsi="Times New Roman"/>
          <w:sz w:val="14"/>
          <w:szCs w:val="14"/>
          <w:color w:val="auto"/>
        </w:rPr>
      </w:pPr>
    </w:p>
    <w:p>
      <w:pPr>
        <w:jc w:val="both"/>
        <w:ind w:left="780" w:hanging="264"/>
        <w:spacing w:after="0" w:line="262" w:lineRule="auto"/>
        <w:tabs>
          <w:tab w:leader="none" w:pos="780"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43" w:lineRule="exact"/>
        <w:rPr>
          <w:rFonts w:ascii="Times New Roman" w:cs="Times New Roman" w:eastAsia="Times New Roman" w:hAnsi="Times New Roman"/>
          <w:sz w:val="14"/>
          <w:szCs w:val="14"/>
          <w:color w:val="auto"/>
        </w:rPr>
      </w:pPr>
    </w:p>
    <w:p>
      <w:pPr>
        <w:ind w:left="780" w:hanging="264"/>
        <w:spacing w:after="0" w:line="289" w:lineRule="auto"/>
        <w:tabs>
          <w:tab w:leader="none" w:pos="780"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(a)(1)(ii) and (a)(1)(iii) of this section do not apply if the registration statement is on Form F-3 and the information required to be included in a post-effective amendment by those paragraphs is contained in periodic reports filed with or furnished to the SEC by the registrant pursuant to Section 13 or Section 15(d) of the Securities Exchange Act of 1934, as amended, or Exchange Act, that are incorporated by reference in the registration statement, or is contained in a form of prospectus filed pursuant to Rule 424(b) that is part of the registration statement.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1" w:name="page42"/>
    <w:bookmarkEnd w:id="41"/>
    <w:p>
      <w:pPr>
        <w:ind w:left="520" w:hanging="259"/>
        <w:spacing w:after="0" w:line="289"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9" w:lineRule="exact"/>
        <w:rPr>
          <w:rFonts w:ascii="Times New Roman" w:cs="Times New Roman" w:eastAsia="Times New Roman" w:hAnsi="Times New Roman"/>
          <w:sz w:val="14"/>
          <w:szCs w:val="14"/>
          <w:color w:val="auto"/>
        </w:rPr>
      </w:pPr>
    </w:p>
    <w:p>
      <w:pPr>
        <w:jc w:val="both"/>
        <w:ind w:left="520" w:right="20" w:hanging="259"/>
        <w:spacing w:after="0" w:line="259"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Exchange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Exchange Act or Rule 3-19 of Regulation S-K if such financial statements and information are contained in periodic reports filed with or furnished to the SEC by the registrant pursuant to Section 13 or Section 15(d) of the Exchange Act that are incorporated by reference in this Form F-3.</w:t>
      </w:r>
    </w:p>
    <w:p>
      <w:pPr>
        <w:spacing w:after="0" w:line="146"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79" w:lineRule="exact"/>
        <w:rPr>
          <w:rFonts w:ascii="Times New Roman" w:cs="Times New Roman" w:eastAsia="Times New Roman" w:hAnsi="Times New Roman"/>
          <w:sz w:val="14"/>
          <w:szCs w:val="14"/>
          <w:color w:val="auto"/>
        </w:rPr>
      </w:pPr>
    </w:p>
    <w:p>
      <w:pPr>
        <w:ind w:left="780" w:right="20" w:hanging="264"/>
        <w:spacing w:after="0" w:line="289" w:lineRule="auto"/>
        <w:tabs>
          <w:tab w:leader="none" w:pos="7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3" w:lineRule="exact"/>
        <w:rPr>
          <w:rFonts w:ascii="Times New Roman" w:cs="Times New Roman" w:eastAsia="Times New Roman" w:hAnsi="Times New Roman"/>
          <w:sz w:val="14"/>
          <w:szCs w:val="14"/>
          <w:color w:val="auto"/>
        </w:rPr>
      </w:pPr>
    </w:p>
    <w:p>
      <w:pPr>
        <w:jc w:val="both"/>
        <w:ind w:left="780" w:hanging="264"/>
        <w:spacing w:after="0" w:line="258" w:lineRule="auto"/>
        <w:tabs>
          <w:tab w:leader="none" w:pos="7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6"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6" w:lineRule="exact"/>
        <w:rPr>
          <w:sz w:val="20"/>
          <w:szCs w:val="20"/>
          <w:color w:val="auto"/>
        </w:rPr>
      </w:pPr>
    </w:p>
    <w:p>
      <w:pPr>
        <w:ind w:left="5540" w:right="2740" w:hanging="5013"/>
        <w:spacing w:after="0" w:line="828" w:lineRule="auto"/>
        <w:tabs>
          <w:tab w:leader="none" w:pos="79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2" w:name="page43"/>
    <w:bookmarkEnd w:id="42"/>
    <w:p>
      <w:pPr>
        <w:ind w:left="800" w:hanging="273"/>
        <w:spacing w:after="0"/>
        <w:tabs>
          <w:tab w:leader="none" w:pos="8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79" w:lineRule="exact"/>
        <w:rPr>
          <w:rFonts w:ascii="Times New Roman" w:cs="Times New Roman" w:eastAsia="Times New Roman" w:hAnsi="Times New Roman"/>
          <w:sz w:val="14"/>
          <w:szCs w:val="14"/>
          <w:color w:val="auto"/>
        </w:rPr>
      </w:pPr>
    </w:p>
    <w:p>
      <w:pPr>
        <w:ind w:left="800" w:right="20" w:hanging="273"/>
        <w:spacing w:after="0" w:line="289" w:lineRule="auto"/>
        <w:tabs>
          <w:tab w:leader="none" w:pos="8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3" w:lineRule="exact"/>
        <w:rPr>
          <w:rFonts w:ascii="Times New Roman" w:cs="Times New Roman" w:eastAsia="Times New Roman" w:hAnsi="Times New Roman"/>
          <w:sz w:val="14"/>
          <w:szCs w:val="14"/>
          <w:color w:val="auto"/>
        </w:rPr>
      </w:pPr>
    </w:p>
    <w:p>
      <w:pPr>
        <w:ind w:left="800" w:hanging="273"/>
        <w:spacing w:after="0"/>
        <w:tabs>
          <w:tab w:leader="none" w:pos="80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9" w:lineRule="exact"/>
        <w:rPr>
          <w:rFonts w:ascii="Times New Roman" w:cs="Times New Roman" w:eastAsia="Times New Roman" w:hAnsi="Times New Roman"/>
          <w:sz w:val="14"/>
          <w:szCs w:val="14"/>
          <w:color w:val="auto"/>
        </w:rPr>
      </w:pPr>
    </w:p>
    <w:p>
      <w:pPr>
        <w:jc w:val="both"/>
        <w:ind w:firstLine="5"/>
        <w:spacing w:after="0" w:line="261" w:lineRule="auto"/>
        <w:tabs>
          <w:tab w:leader="none" w:pos="23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2" w:lineRule="exact"/>
        <w:rPr>
          <w:rFonts w:ascii="Times New Roman" w:cs="Times New Roman" w:eastAsia="Times New Roman" w:hAnsi="Times New Roman"/>
          <w:sz w:val="14"/>
          <w:szCs w:val="14"/>
          <w:color w:val="auto"/>
        </w:rPr>
      </w:pPr>
    </w:p>
    <w:p>
      <w:pPr>
        <w:jc w:val="both"/>
        <w:ind w:firstLine="5"/>
        <w:spacing w:after="0" w:line="271" w:lineRule="auto"/>
        <w:tabs>
          <w:tab w:leader="none" w:pos="23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6" w:lineRule="exact"/>
        <w:rPr>
          <w:rFonts w:ascii="Times New Roman" w:cs="Times New Roman" w:eastAsia="Times New Roman" w:hAnsi="Times New Roman"/>
          <w:sz w:val="14"/>
          <w:szCs w:val="14"/>
          <w:color w:val="auto"/>
        </w:rPr>
      </w:pPr>
    </w:p>
    <w:p>
      <w:pPr>
        <w:ind w:firstLine="5"/>
        <w:spacing w:after="0" w:line="289" w:lineRule="auto"/>
        <w:tabs>
          <w:tab w:leader="none" w:pos="23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of 1939, as amended, or the Act, in accordance with the rules and regulations prescribed by the Commission under section 305(b)(2) of the Act.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INDEX TO EXHIBITS</w:t>
            </w:r>
          </w:p>
        </w:tc>
      </w:tr>
      <w:tr>
        <w:trPr>
          <w:trHeight w:val="34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0"/>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Borders>
              <w:right w:val="single" w:sz="8" w:color="CCEEFF"/>
            </w:tcBorders>
            <w:shd w:val="clear" w:color="auto" w:fill="CCEEFF"/>
          </w:tcPr>
          <w:p>
            <w:pPr>
              <w:spacing w:after="0"/>
              <w:rPr>
                <w:sz w:val="14"/>
                <w:szCs w:val="14"/>
                <w:color w:val="auto"/>
              </w:rPr>
            </w:pPr>
          </w:p>
        </w:tc>
        <w:tc>
          <w:tcPr>
            <w:tcW w:w="10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138"/>
        </w:trPr>
        <w:tc>
          <w:tcPr>
            <w:tcW w:w="10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2"/>
                <w:szCs w:val="12"/>
                <w:color w:val="auto"/>
              </w:rPr>
            </w:pPr>
          </w:p>
        </w:tc>
        <w:tc>
          <w:tcPr>
            <w:tcW w:w="10120" w:type="dxa"/>
            <w:vAlign w:val="bottom"/>
            <w:tcBorders>
              <w:bottom w:val="single" w:sz="8" w:color="0000EE"/>
            </w:tcBorders>
            <w:gridSpan w:val="8"/>
          </w:tcPr>
          <w:p>
            <w:pPr>
              <w:spacing w:after="0" w:line="139"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Second Amended and Restated Memorandum of Association and Articles of Association of the Registrant, as currently in effect (incorporated herein by reference to Exhibit 3.1</w:t>
              </w:r>
            </w:hyperlink>
          </w:p>
        </w:tc>
      </w:tr>
      <w:tr>
        <w:trPr>
          <w:trHeight w:val="150"/>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8"/>
          </w:tcPr>
          <w:p>
            <w:pPr>
              <w:spacing w:after="0" w:line="151"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to the Report of Foreign Private Issuer on Form 6-K, furnished with the Securities and Exchange Commission on December 22, 2021)</w:t>
              </w:r>
            </w:hyperlink>
          </w:p>
        </w:tc>
      </w:tr>
      <w:tr>
        <w:trPr>
          <w:trHeight w:val="26"/>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26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520" w:type="dxa"/>
            <w:vAlign w:val="bottom"/>
          </w:tcPr>
          <w:p>
            <w:pPr>
              <w:spacing w:after="0"/>
              <w:rPr>
                <w:sz w:val="2"/>
                <w:szCs w:val="2"/>
                <w:color w:val="auto"/>
              </w:rPr>
            </w:pPr>
          </w:p>
        </w:tc>
      </w:tr>
      <w:tr>
        <w:trPr>
          <w:trHeight w:val="144"/>
        </w:trPr>
        <w:tc>
          <w:tcPr>
            <w:tcW w:w="1020" w:type="dxa"/>
            <w:vAlign w:val="bottom"/>
            <w:tcBorders>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4.2</w:t>
            </w: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10120" w:type="dxa"/>
            <w:vAlign w:val="bottom"/>
            <w:tcBorders>
              <w:bottom w:val="single" w:sz="8" w:color="0000EE"/>
            </w:tcBorders>
            <w:gridSpan w:val="8"/>
            <w:shd w:val="clear" w:color="auto" w:fill="CCEEFF"/>
          </w:tcPr>
          <w:p>
            <w:pPr>
              <w:spacing w:after="0" w:line="145" w:lineRule="exact"/>
              <w:rPr>
                <w:rFonts w:ascii="Times New Roman" w:cs="Times New Roman" w:eastAsia="Times New Roman" w:hAnsi="Times New Roman"/>
                <w:sz w:val="14"/>
                <w:szCs w:val="14"/>
                <w:color w:val="0000EE"/>
              </w:rPr>
            </w:pPr>
            <w:hyperlink r:id="rId25">
              <w:r>
                <w:rPr>
                  <w:rFonts w:ascii="Times New Roman" w:cs="Times New Roman" w:eastAsia="Times New Roman" w:hAnsi="Times New Roman"/>
                  <w:sz w:val="14"/>
                  <w:szCs w:val="14"/>
                  <w:color w:val="0000EE"/>
                </w:rPr>
                <w:t>Description of Securities (incorporated herein by reference to Exhibit 2.5 to the Annual Report on Form 20-F for the fiscal year ended December 31, 2025, filed with the</w:t>
              </w:r>
            </w:hyperlink>
          </w:p>
        </w:tc>
      </w:tr>
      <w:tr>
        <w:trPr>
          <w:trHeight w:val="150"/>
        </w:trPr>
        <w:tc>
          <w:tcPr>
            <w:tcW w:w="10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120" w:type="dxa"/>
            <w:vAlign w:val="bottom"/>
            <w:gridSpan w:val="8"/>
            <w:shd w:val="clear" w:color="auto" w:fill="CCEEFF"/>
          </w:tcPr>
          <w:p>
            <w:pPr>
              <w:spacing w:after="0" w:line="151" w:lineRule="exact"/>
              <w:rPr>
                <w:rFonts w:ascii="Times New Roman" w:cs="Times New Roman" w:eastAsia="Times New Roman" w:hAnsi="Times New Roman"/>
                <w:sz w:val="14"/>
                <w:szCs w:val="14"/>
                <w:color w:val="0000EE"/>
              </w:rPr>
            </w:pPr>
            <w:hyperlink r:id="rId25">
              <w:r>
                <w:rPr>
                  <w:rFonts w:ascii="Times New Roman" w:cs="Times New Roman" w:eastAsia="Times New Roman" w:hAnsi="Times New Roman"/>
                  <w:sz w:val="14"/>
                  <w:szCs w:val="14"/>
                  <w:color w:val="0000EE"/>
                </w:rPr>
                <w:t>Securities and Exchange Commission on April 24, 2026)</w:t>
              </w:r>
            </w:hyperlink>
          </w:p>
        </w:tc>
      </w:tr>
      <w:tr>
        <w:trPr>
          <w:trHeight w:val="32"/>
        </w:trPr>
        <w:tc>
          <w:tcPr>
            <w:tcW w:w="10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4"/>
                <w:szCs w:val="1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Indenture</w:t>
            </w:r>
          </w:p>
        </w:tc>
      </w:tr>
      <w:tr>
        <w:trPr>
          <w:trHeight w:val="170"/>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Borders>
              <w:right w:val="single" w:sz="8" w:color="CCEEFF"/>
            </w:tcBorders>
            <w:shd w:val="clear" w:color="auto" w:fill="CCEEFF"/>
          </w:tcPr>
          <w:p>
            <w:pPr>
              <w:spacing w:after="0"/>
              <w:rPr>
                <w:sz w:val="14"/>
                <w:szCs w:val="14"/>
                <w:color w:val="auto"/>
              </w:rPr>
            </w:pPr>
          </w:p>
        </w:tc>
        <w:tc>
          <w:tcPr>
            <w:tcW w:w="10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Debt Security</w:t>
            </w: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4"/>
                <w:szCs w:val="1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Warrant</w:t>
            </w:r>
          </w:p>
        </w:tc>
      </w:tr>
      <w:tr>
        <w:trPr>
          <w:trHeight w:val="170"/>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Borders>
              <w:right w:val="single" w:sz="8" w:color="CCEEFF"/>
            </w:tcBorders>
            <w:shd w:val="clear" w:color="auto" w:fill="CCEEFF"/>
          </w:tcPr>
          <w:p>
            <w:pPr>
              <w:spacing w:after="0"/>
              <w:rPr>
                <w:sz w:val="14"/>
                <w:szCs w:val="14"/>
                <w:color w:val="auto"/>
              </w:rPr>
            </w:pPr>
          </w:p>
        </w:tc>
        <w:tc>
          <w:tcPr>
            <w:tcW w:w="10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Warrant Agreement</w:t>
            </w: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rPr>
                <w:sz w:val="14"/>
                <w:szCs w:val="1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of Subscription Rights Agreement (including form of Subscription Right Certificate)</w:t>
            </w:r>
          </w:p>
        </w:tc>
      </w:tr>
      <w:tr>
        <w:trPr>
          <w:trHeight w:val="170"/>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Borders>
              <w:right w:val="single" w:sz="8" w:color="CCEEFF"/>
            </w:tcBorders>
            <w:shd w:val="clear" w:color="auto" w:fill="CCEEFF"/>
          </w:tcPr>
          <w:p>
            <w:pPr>
              <w:spacing w:after="0"/>
              <w:rPr>
                <w:sz w:val="14"/>
                <w:szCs w:val="14"/>
                <w:color w:val="auto"/>
              </w:rPr>
            </w:pPr>
          </w:p>
        </w:tc>
        <w:tc>
          <w:tcPr>
            <w:tcW w:w="10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Unit Agreement (including form of Unit Certificate)</w:t>
            </w:r>
          </w:p>
        </w:tc>
      </w:tr>
      <w:tr>
        <w:trPr>
          <w:trHeight w:val="138"/>
        </w:trPr>
        <w:tc>
          <w:tcPr>
            <w:tcW w:w="10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2"/>
                <w:szCs w:val="12"/>
                <w:color w:val="auto"/>
              </w:rPr>
            </w:pPr>
          </w:p>
        </w:tc>
        <w:tc>
          <w:tcPr>
            <w:tcW w:w="10120" w:type="dxa"/>
            <w:vAlign w:val="bottom"/>
            <w:gridSpan w:val="8"/>
          </w:tcPr>
          <w:p>
            <w:pPr>
              <w:spacing w:after="0" w:line="139" w:lineRule="exact"/>
              <w:rPr>
                <w:sz w:val="20"/>
                <w:szCs w:val="20"/>
                <w:color w:val="auto"/>
              </w:rPr>
            </w:pPr>
            <w:r>
              <w:rPr>
                <w:rFonts w:ascii="Times New Roman" w:cs="Times New Roman" w:eastAsia="Times New Roman" w:hAnsi="Times New Roman"/>
                <w:sz w:val="14"/>
                <w:szCs w:val="14"/>
                <w:color w:val="0000EE"/>
              </w:rPr>
              <w:t>Opinion of Conyers Dill &amp; Pearman regarding the validity of Class A ordinary shares and certain Cayman Islands legal matters</w:t>
            </w:r>
          </w:p>
        </w:tc>
      </w:tr>
      <w:tr>
        <w:trPr>
          <w:trHeight w:val="26"/>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264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Borders>
              <w:right w:val="single" w:sz="8" w:color="CCEEFF"/>
            </w:tcBorders>
            <w:shd w:val="clear" w:color="auto" w:fill="CCEEFF"/>
          </w:tcPr>
          <w:p>
            <w:pPr>
              <w:spacing w:after="0"/>
              <w:rPr>
                <w:sz w:val="15"/>
                <w:szCs w:val="15"/>
                <w:color w:val="auto"/>
              </w:rPr>
            </w:pPr>
          </w:p>
        </w:tc>
        <w:tc>
          <w:tcPr>
            <w:tcW w:w="10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Opinion of Loeb &amp; Loeb LLP regarding the enforceability of certain securities being registered</w:t>
            </w:r>
          </w:p>
        </w:tc>
      </w:tr>
      <w:tr>
        <w:trPr>
          <w:trHeight w:val="138"/>
        </w:trPr>
        <w:tc>
          <w:tcPr>
            <w:tcW w:w="10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2"/>
                <w:szCs w:val="12"/>
                <w:color w:val="auto"/>
              </w:rPr>
            </w:pPr>
          </w:p>
        </w:tc>
        <w:tc>
          <w:tcPr>
            <w:tcW w:w="10120" w:type="dxa"/>
            <w:vAlign w:val="bottom"/>
            <w:gridSpan w:val="8"/>
          </w:tcPr>
          <w:p>
            <w:pPr>
              <w:spacing w:after="0" w:line="139" w:lineRule="exact"/>
              <w:rPr>
                <w:sz w:val="20"/>
                <w:szCs w:val="20"/>
                <w:color w:val="auto"/>
              </w:rPr>
            </w:pPr>
            <w:r>
              <w:rPr>
                <w:rFonts w:ascii="Times New Roman" w:cs="Times New Roman" w:eastAsia="Times New Roman" w:hAnsi="Times New Roman"/>
                <w:sz w:val="14"/>
                <w:szCs w:val="14"/>
                <w:color w:val="0000EE"/>
              </w:rPr>
              <w:t>Consent of MaloneBailey, LLP, Independent Registered Public Accounting Firm</w:t>
            </w:r>
          </w:p>
        </w:tc>
      </w:tr>
      <w:tr>
        <w:trPr>
          <w:trHeight w:val="26"/>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44"/>
        </w:trPr>
        <w:tc>
          <w:tcPr>
            <w:tcW w:w="10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23.2**</w:t>
            </w:r>
          </w:p>
        </w:tc>
        <w:tc>
          <w:tcPr>
            <w:tcW w:w="140" w:type="dxa"/>
            <w:vAlign w:val="bottom"/>
            <w:tcBorders>
              <w:right w:val="single" w:sz="8" w:color="CCEEFF"/>
            </w:tcBorders>
            <w:shd w:val="clear" w:color="auto" w:fill="CCEEFF"/>
          </w:tcPr>
          <w:p>
            <w:pPr>
              <w:spacing w:after="0"/>
              <w:rPr>
                <w:sz w:val="12"/>
                <w:szCs w:val="12"/>
                <w:color w:val="auto"/>
              </w:rPr>
            </w:pPr>
          </w:p>
        </w:tc>
        <w:tc>
          <w:tcPr>
            <w:tcW w:w="10120" w:type="dxa"/>
            <w:vAlign w:val="bottom"/>
            <w:gridSpan w:val="8"/>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Consent of Conyers Dill &amp; Pearman (included in Exhibit 5.1)</w:t>
            </w:r>
          </w:p>
        </w:tc>
      </w:tr>
      <w:tr>
        <w:trPr>
          <w:trHeight w:val="32"/>
        </w:trPr>
        <w:tc>
          <w:tcPr>
            <w:tcW w:w="10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140" w:type="dxa"/>
            <w:vAlign w:val="bottom"/>
          </w:tcPr>
          <w:p>
            <w:pPr>
              <w:spacing w:after="0"/>
              <w:rPr>
                <w:sz w:val="14"/>
                <w:szCs w:val="1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Consent of Loeb &amp; Loeb LLP (included in Exhibit 5.2)</w:t>
            </w:r>
          </w:p>
        </w:tc>
      </w:tr>
      <w:tr>
        <w:trPr>
          <w:trHeight w:val="138"/>
        </w:trPr>
        <w:tc>
          <w:tcPr>
            <w:tcW w:w="10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24.1**</w:t>
            </w:r>
          </w:p>
        </w:tc>
        <w:tc>
          <w:tcPr>
            <w:tcW w:w="140" w:type="dxa"/>
            <w:vAlign w:val="bottom"/>
            <w:tcBorders>
              <w:right w:val="single" w:sz="8" w:color="CCEEFF"/>
            </w:tcBorders>
            <w:shd w:val="clear" w:color="auto" w:fill="CCEEFF"/>
          </w:tcPr>
          <w:p>
            <w:pPr>
              <w:spacing w:after="0"/>
              <w:rPr>
                <w:sz w:val="12"/>
                <w:szCs w:val="12"/>
                <w:color w:val="auto"/>
              </w:rPr>
            </w:pPr>
          </w:p>
        </w:tc>
        <w:tc>
          <w:tcPr>
            <w:tcW w:w="10120" w:type="dxa"/>
            <w:vAlign w:val="bottom"/>
            <w:gridSpan w:val="8"/>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EE"/>
              </w:rPr>
              <w:t>Powers of Attorney (included as part of signature page)</w:t>
            </w:r>
          </w:p>
        </w:tc>
      </w:tr>
      <w:tr>
        <w:trPr>
          <w:trHeight w:val="32"/>
        </w:trPr>
        <w:tc>
          <w:tcPr>
            <w:tcW w:w="10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22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140" w:type="dxa"/>
            <w:vAlign w:val="bottom"/>
          </w:tcPr>
          <w:p>
            <w:pPr>
              <w:spacing w:after="0"/>
              <w:rPr>
                <w:sz w:val="14"/>
                <w:szCs w:val="1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Form T-1 Statement of Eligibility and Qualification under the Trust Indenture Act of 1939, as amended, of the Trustee under the Indenture</w:t>
            </w:r>
          </w:p>
        </w:tc>
      </w:tr>
      <w:tr>
        <w:trPr>
          <w:trHeight w:val="138"/>
        </w:trPr>
        <w:tc>
          <w:tcPr>
            <w:tcW w:w="10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107**</w:t>
            </w:r>
          </w:p>
        </w:tc>
        <w:tc>
          <w:tcPr>
            <w:tcW w:w="140" w:type="dxa"/>
            <w:vAlign w:val="bottom"/>
            <w:tcBorders>
              <w:right w:val="single" w:sz="8" w:color="CCEEFF"/>
            </w:tcBorders>
            <w:shd w:val="clear" w:color="auto" w:fill="CCEEFF"/>
          </w:tcPr>
          <w:p>
            <w:pPr>
              <w:spacing w:after="0"/>
              <w:rPr>
                <w:sz w:val="12"/>
                <w:szCs w:val="12"/>
                <w:color w:val="auto"/>
              </w:rPr>
            </w:pPr>
          </w:p>
        </w:tc>
        <w:tc>
          <w:tcPr>
            <w:tcW w:w="10120" w:type="dxa"/>
            <w:vAlign w:val="bottom"/>
            <w:gridSpan w:val="8"/>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EE"/>
              </w:rPr>
              <w:t>Filing Fee Table</w:t>
            </w:r>
          </w:p>
        </w:tc>
      </w:tr>
      <w:tr>
        <w:trPr>
          <w:trHeight w:val="32"/>
        </w:trPr>
        <w:tc>
          <w:tcPr>
            <w:tcW w:w="10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179197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791970" cy="13335"/>
                    </a:xfrm>
                    <a:prstGeom prst="rect">
                      <a:avLst/>
                    </a:prstGeom>
                    <a:noFill/>
                  </pic:spPr>
                </pic:pic>
              </a:graphicData>
            </a:graphic>
          </wp:anchor>
        </w:drawing>
      </w:r>
    </w:p>
    <w:p>
      <w:pPr>
        <w:spacing w:after="0" w:line="168" w:lineRule="exact"/>
        <w:rPr>
          <w:sz w:val="20"/>
          <w:szCs w:val="20"/>
          <w:color w:val="auto"/>
        </w:rPr>
      </w:pPr>
    </w:p>
    <w:p>
      <w:pPr>
        <w:ind w:left="280" w:hanging="275"/>
        <w:spacing w:after="0"/>
        <w:tabs>
          <w:tab w:leader="none" w:pos="2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applicable, as an exhibit to a post-effective amendment to this Registration Statement or as an exhibit to a report filed under the Exchange Act and incorporated herein by</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reference, as appropriate.</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3"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Irving, State of Texas on the 24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of April, 2026.</w:t>
      </w:r>
    </w:p>
    <w:p>
      <w:pPr>
        <w:spacing w:after="0" w:line="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b w:val="1"/>
          <w:bCs w:val="1"/>
          <w:color w:val="auto"/>
        </w:rPr>
        <w:t>Ebang International Holdings Inc.</w:t>
      </w:r>
    </w:p>
    <w:p>
      <w:pPr>
        <w:spacing w:after="0" w:line="180" w:lineRule="exact"/>
        <w:rPr>
          <w:sz w:val="20"/>
          <w:szCs w:val="20"/>
          <w:color w:val="auto"/>
        </w:rPr>
      </w:pPr>
    </w:p>
    <w:tbl>
      <w:tblPr>
        <w:tblLayout w:type="fixed"/>
        <w:tblInd w:w="6780" w:type="dxa"/>
        <w:tblCellMar>
          <w:top w:w="0" w:type="dxa"/>
          <w:left w:w="0" w:type="dxa"/>
          <w:bottom w:w="0" w:type="dxa"/>
          <w:right w:w="0" w:type="dxa"/>
        </w:tblCellMar>
      </w:tblPr>
      <w:tr>
        <w:trPr>
          <w:trHeight w:val="18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Dong Hu</w:t>
            </w:r>
          </w:p>
        </w:tc>
      </w:tr>
      <w:tr>
        <w:trPr>
          <w:trHeight w:val="156"/>
        </w:trPr>
        <w:tc>
          <w:tcPr>
            <w:tcW w:w="5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Dong Hu</w:t>
            </w:r>
          </w:p>
        </w:tc>
      </w:t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Chairman, Chief Executive Officer and Chief Financial Officer</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42"/>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 Dong Hu</w:t>
            </w:r>
          </w:p>
        </w:tc>
        <w:tc>
          <w:tcPr>
            <w:tcW w:w="120" w:type="dxa"/>
            <w:vAlign w:val="bottom"/>
          </w:tcPr>
          <w:p>
            <w:pPr>
              <w:spacing w:after="0"/>
              <w:rPr>
                <w:sz w:val="24"/>
                <w:szCs w:val="24"/>
                <w:color w:val="auto"/>
              </w:rPr>
            </w:pPr>
          </w:p>
        </w:tc>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Chairman, Chief Executive Officer and 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24, 2026</w:t>
            </w:r>
          </w:p>
        </w:tc>
      </w:tr>
      <w:tr>
        <w:trPr>
          <w:trHeight w:val="145"/>
        </w:trPr>
        <w:tc>
          <w:tcPr>
            <w:tcW w:w="3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Dong Hu</w:t>
            </w:r>
          </w:p>
        </w:tc>
        <w:tc>
          <w:tcPr>
            <w:tcW w:w="120" w:type="dxa"/>
            <w:vAlign w:val="bottom"/>
          </w:tcPr>
          <w:p>
            <w:pPr>
              <w:spacing w:after="0"/>
              <w:rPr>
                <w:sz w:val="12"/>
                <w:szCs w:val="12"/>
                <w:color w:val="auto"/>
              </w:rPr>
            </w:pPr>
          </w:p>
        </w:tc>
        <w:tc>
          <w:tcPr>
            <w:tcW w:w="46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(principal executive officer, principal financial officer and principal accounting</w:t>
            </w:r>
          </w:p>
        </w:tc>
        <w:tc>
          <w:tcPr>
            <w:tcW w:w="2580" w:type="dxa"/>
            <w:vAlign w:val="bottom"/>
          </w:tcPr>
          <w:p>
            <w:pPr>
              <w:spacing w:after="0"/>
              <w:rPr>
                <w:sz w:val="12"/>
                <w:szCs w:val="12"/>
                <w:color w:val="auto"/>
              </w:rPr>
            </w:pPr>
          </w:p>
        </w:tc>
      </w:tr>
      <w:tr>
        <w:trPr>
          <w:trHeight w:val="184"/>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officer)</w:t>
            </w:r>
          </w:p>
        </w:tc>
        <w:tc>
          <w:tcPr>
            <w:tcW w:w="2580" w:type="dxa"/>
            <w:vAlign w:val="bottom"/>
          </w:tcPr>
          <w:p>
            <w:pPr>
              <w:spacing w:after="0"/>
              <w:rPr>
                <w:sz w:val="16"/>
                <w:szCs w:val="16"/>
                <w:color w:val="auto"/>
              </w:rPr>
            </w:pPr>
          </w:p>
        </w:tc>
      </w:tr>
      <w:tr>
        <w:trPr>
          <w:trHeight w:val="343"/>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 *</w:t>
            </w:r>
          </w:p>
        </w:tc>
        <w:tc>
          <w:tcPr>
            <w:tcW w:w="120" w:type="dxa"/>
            <w:vAlign w:val="bottom"/>
          </w:tcPr>
          <w:p>
            <w:pPr>
              <w:spacing w:after="0"/>
              <w:rPr>
                <w:sz w:val="24"/>
                <w:szCs w:val="24"/>
                <w:color w:val="auto"/>
              </w:rPr>
            </w:pPr>
          </w:p>
        </w:tc>
        <w:tc>
          <w:tcPr>
            <w:tcW w:w="4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24, 2026</w:t>
            </w:r>
          </w:p>
        </w:tc>
      </w:tr>
      <w:tr>
        <w:trPr>
          <w:trHeight w:val="184"/>
        </w:trPr>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Chunjuan Peng</w:t>
            </w:r>
          </w:p>
        </w:tc>
        <w:tc>
          <w:tcPr>
            <w:tcW w:w="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328"/>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 *</w:t>
            </w:r>
          </w:p>
        </w:tc>
        <w:tc>
          <w:tcPr>
            <w:tcW w:w="120" w:type="dxa"/>
            <w:vAlign w:val="bottom"/>
          </w:tcPr>
          <w:p>
            <w:pPr>
              <w:spacing w:after="0"/>
              <w:rPr>
                <w:sz w:val="24"/>
                <w:szCs w:val="24"/>
                <w:color w:val="auto"/>
              </w:rPr>
            </w:pPr>
          </w:p>
        </w:tc>
        <w:tc>
          <w:tcPr>
            <w:tcW w:w="4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24, 2026</w:t>
            </w:r>
          </w:p>
        </w:tc>
      </w:tr>
      <w:tr>
        <w:trPr>
          <w:trHeight w:val="184"/>
        </w:trPr>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Yanqing Gao</w:t>
            </w:r>
          </w:p>
        </w:tc>
        <w:tc>
          <w:tcPr>
            <w:tcW w:w="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328"/>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 *</w:t>
            </w:r>
          </w:p>
        </w:tc>
        <w:tc>
          <w:tcPr>
            <w:tcW w:w="120" w:type="dxa"/>
            <w:vAlign w:val="bottom"/>
          </w:tcPr>
          <w:p>
            <w:pPr>
              <w:spacing w:after="0"/>
              <w:rPr>
                <w:sz w:val="24"/>
                <w:szCs w:val="24"/>
                <w:color w:val="auto"/>
              </w:rPr>
            </w:pPr>
          </w:p>
        </w:tc>
        <w:tc>
          <w:tcPr>
            <w:tcW w:w="4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24, 2026</w:t>
            </w:r>
          </w:p>
        </w:tc>
      </w:tr>
      <w:tr>
        <w:trPr>
          <w:trHeight w:val="184"/>
        </w:trPr>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Tingjie Lyu</w:t>
            </w:r>
          </w:p>
        </w:tc>
        <w:tc>
          <w:tcPr>
            <w:tcW w:w="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328"/>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 *</w:t>
            </w:r>
          </w:p>
        </w:tc>
        <w:tc>
          <w:tcPr>
            <w:tcW w:w="120" w:type="dxa"/>
            <w:vAlign w:val="bottom"/>
          </w:tcPr>
          <w:p>
            <w:pPr>
              <w:spacing w:after="0"/>
              <w:rPr>
                <w:sz w:val="24"/>
                <w:szCs w:val="24"/>
                <w:color w:val="auto"/>
              </w:rPr>
            </w:pPr>
          </w:p>
        </w:tc>
        <w:tc>
          <w:tcPr>
            <w:tcW w:w="4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24, 2026</w:t>
            </w:r>
          </w:p>
        </w:tc>
      </w:tr>
      <w:tr>
        <w:trPr>
          <w:trHeight w:val="184"/>
        </w:trPr>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Mingming Su</w:t>
            </w:r>
          </w:p>
        </w:tc>
        <w:tc>
          <w:tcPr>
            <w:tcW w:w="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By:</w:t>
            </w:r>
          </w:p>
        </w:tc>
        <w:tc>
          <w:tcPr>
            <w:tcW w:w="10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Dong Hu</w:t>
            </w:r>
          </w:p>
        </w:tc>
      </w:tr>
      <w:tr>
        <w:trPr>
          <w:trHeight w:val="184"/>
        </w:trPr>
        <w:tc>
          <w:tcPr>
            <w:tcW w:w="560" w:type="dxa"/>
            <w:vAlign w:val="bottom"/>
          </w:tcPr>
          <w:p>
            <w:pPr>
              <w:spacing w:after="0"/>
              <w:rPr>
                <w:sz w:val="16"/>
                <w:szCs w:val="16"/>
                <w:color w:val="auto"/>
              </w:rPr>
            </w:pPr>
          </w:p>
        </w:tc>
        <w:tc>
          <w:tcPr>
            <w:tcW w:w="3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Dong Hu, as attorney-in-fact</w:t>
            </w:r>
          </w:p>
        </w:tc>
        <w:tc>
          <w:tcPr>
            <w:tcW w:w="6760" w:type="dxa"/>
            <w:vAlign w:val="bottom"/>
          </w:tcPr>
          <w:p>
            <w:pPr>
              <w:spacing w:after="0"/>
              <w:rPr>
                <w:sz w:val="16"/>
                <w:szCs w:val="16"/>
                <w:color w:val="auto"/>
              </w:rPr>
            </w:pPr>
          </w:p>
        </w:tc>
      </w:tr>
      <w:tr>
        <w:trPr>
          <w:trHeight w:val="498"/>
        </w:trPr>
        <w:tc>
          <w:tcPr>
            <w:tcW w:w="5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II-5</w:t>
            </w:r>
          </w:p>
        </w:tc>
      </w:tr>
    </w:tbl>
    <w:p>
      <w:pPr>
        <w:sectPr>
          <w:pgSz w:w="11900" w:h="16838" w:orient="portrait"/>
          <w:cols w:equalWidth="0" w:num="1">
            <w:col w:w="11280"/>
          </w:cols>
          <w:pgMar w:left="300" w:top="293"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 April 2026</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Matter No.:1016780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Doc Ref: BXC/111764242</w:t>
      </w:r>
    </w:p>
    <w:p>
      <w:pPr>
        <w:spacing w:after="0" w:line="16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4"/>
          <w:szCs w:val="14"/>
          <w:color w:val="auto"/>
        </w:rPr>
        <w:t>(852) 2842 9403</w:t>
      </w:r>
    </w:p>
    <w:p>
      <w:pPr>
        <w:spacing w:after="0" w:line="23"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color w:val="auto"/>
        </w:rPr>
        <w:t>Beverly.Cheung@conyers.com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Ebang International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600 East John Carpenter Freeway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Suite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Irving, Texas 75062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 Ebang International Holdings Inc. </w:t>
      </w: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acted as special Cayman Islands legal counsel to the Company in connection with the Company’s shelf registration statement on Form F-3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which term does not include any other document or agreement whether or not specifically referred to therein or attached as an exhibit or schedule thereto) filed by the Company with the U.S.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on 24 April 2026 relating to the registration under the U.S.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of a prospectus (the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in connection with an offering by the Company of up to an aggregate principal amount of US$75,000,000 from time to time, on a delayed or continuous basis, separately or in any combination in one or more series of (i) Class A ordinary shares of par value HK$0.03 per share of the Company (the “</w:t>
      </w:r>
      <w:r>
        <w:rPr>
          <w:rFonts w:ascii="Times New Roman" w:cs="Times New Roman" w:eastAsia="Times New Roman" w:hAnsi="Times New Roman"/>
          <w:sz w:val="14"/>
          <w:szCs w:val="14"/>
          <w:b w:val="1"/>
          <w:bCs w:val="1"/>
          <w:color w:val="auto"/>
        </w:rPr>
        <w:t>Class A Ordinary Shares</w:t>
      </w:r>
      <w:r>
        <w:rPr>
          <w:rFonts w:ascii="Times New Roman" w:cs="Times New Roman" w:eastAsia="Times New Roman" w:hAnsi="Times New Roman"/>
          <w:sz w:val="14"/>
          <w:szCs w:val="14"/>
          <w:color w:val="auto"/>
        </w:rPr>
        <w:t>”); (ii) debt securities that may include debt securities entitling the holders to convert or exchange, for redemption or purchase in extinguishment of debt, an amount of Class A Ordinary Shares at the conversion or exchange price or rate a price as set out in one or more indentures (the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(iii) warrants to purchase Class A Ordinary Shares or Debt Securities as set out in in one or more warrant agreements relating to the warrants to be made between the Company and a bank or trust company, as warrant agent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(iv) subscription rights to purchase Class A Ordinary Shares or Debt Securities as set out in one or more subscription rights agreements to be made between the Company and one or more selling agents and/or underwriters or directly by the Company (the “</w:t>
      </w:r>
      <w:r>
        <w:rPr>
          <w:rFonts w:ascii="Times New Roman" w:cs="Times New Roman" w:eastAsia="Times New Roman" w:hAnsi="Times New Roman"/>
          <w:sz w:val="14"/>
          <w:szCs w:val="14"/>
          <w:b w:val="1"/>
          <w:bCs w:val="1"/>
          <w:color w:val="auto"/>
        </w:rPr>
        <w:t>Subscription Rights</w:t>
      </w:r>
      <w:r>
        <w:rPr>
          <w:rFonts w:ascii="Times New Roman" w:cs="Times New Roman" w:eastAsia="Times New Roman" w:hAnsi="Times New Roman"/>
          <w:sz w:val="14"/>
          <w:szCs w:val="14"/>
          <w:color w:val="auto"/>
        </w:rPr>
        <w:t>”); and (v) units as set out in one or more unit agreements to be made between the Company and one or more selling agents and/or underwriters or directly by the Company consisting of any combination of Debt Securities, Warrants and/or Subscription Rights (the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and together with the Debt Securities, the Warrants and the Subscription Rights, the “</w:t>
      </w:r>
      <w:r>
        <w:rPr>
          <w:rFonts w:ascii="Times New Roman" w:cs="Times New Roman" w:eastAsia="Times New Roman" w:hAnsi="Times New Roman"/>
          <w:sz w:val="14"/>
          <w:szCs w:val="14"/>
          <w:b w:val="1"/>
          <w:bCs w:val="1"/>
          <w:color w:val="auto"/>
        </w:rPr>
        <w:t>Non-Equity Securities</w:t>
      </w:r>
      <w:r>
        <w:rPr>
          <w:rFonts w:ascii="Times New Roman" w:cs="Times New Roman" w:eastAsia="Times New Roman" w:hAnsi="Times New Roman"/>
          <w:sz w:val="14"/>
          <w:szCs w:val="14"/>
          <w:color w:val="auto"/>
        </w:rPr>
        <w:t>” and collectively with the Class A Ordinary Shares,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as described in the Registration Statement (the “</w:t>
      </w: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520" w:hanging="515"/>
        <w:spacing w:after="0"/>
        <w:tabs>
          <w:tab w:leader="none" w:pos="5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REVIEWED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purposes of giving this opinion, we have examined copies of the following documents:</w:t>
      </w:r>
    </w:p>
    <w:p>
      <w:pPr>
        <w:spacing w:after="0" w:line="1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second amended and restated memorandum and articles of association of the Company;</w:t>
      </w:r>
    </w:p>
    <w:p>
      <w:pPr>
        <w:spacing w:after="0" w:line="17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color w:val="auto"/>
        </w:rPr>
        <w:t>the resolutions in writing of all the directors of the Company dated 23 April 2026 (the “</w:t>
      </w:r>
      <w:r>
        <w:rPr>
          <w:rFonts w:ascii="Times New Roman" w:cs="Times New Roman" w:eastAsia="Times New Roman" w:hAnsi="Times New Roman"/>
          <w:sz w:val="14"/>
          <w:szCs w:val="14"/>
          <w:b w:val="1"/>
          <w:bCs w:val="1"/>
          <w:color w:val="auto"/>
        </w:rPr>
        <w:t>Resolutions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a Certificate of Good Standing issued by the Registrar of Companies in relation to the Company on 21 April 2026 (the “</w:t>
      </w:r>
      <w:r>
        <w:rPr>
          <w:rFonts w:ascii="Times New Roman" w:cs="Times New Roman" w:eastAsia="Times New Roman" w:hAnsi="Times New Roman"/>
          <w:sz w:val="14"/>
          <w:szCs w:val="14"/>
          <w:b w:val="1"/>
          <w:bCs w:val="1"/>
          <w:color w:val="auto"/>
        </w:rPr>
        <w:t>Certificate Date</w:t>
      </w:r>
      <w:r>
        <w:rPr>
          <w:rFonts w:ascii="Times New Roman" w:cs="Times New Roman" w:eastAsia="Times New Roman" w:hAnsi="Times New Roman"/>
          <w:sz w:val="14"/>
          <w:szCs w:val="14"/>
          <w:color w:val="auto"/>
        </w:rPr>
        <w:t>”); and</w:t>
      </w:r>
    </w:p>
    <w:p>
      <w:pPr>
        <w:spacing w:after="0" w:line="1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color w:val="auto"/>
        </w:rPr>
        <w:t>such other documents and made such enquiries as to questions of law as we have deemed necessary in order to render the opinion set forth below.</w:t>
      </w:r>
    </w:p>
    <w:p>
      <w:pPr>
        <w:spacing w:after="0" w:line="178" w:lineRule="exact"/>
        <w:rPr>
          <w:sz w:val="20"/>
          <w:szCs w:val="20"/>
          <w:color w:val="auto"/>
        </w:rPr>
      </w:pPr>
    </w:p>
    <w:p>
      <w:pPr>
        <w:ind w:left="520" w:hanging="515"/>
        <w:spacing w:after="0"/>
        <w:tabs>
          <w:tab w:leader="none" w:pos="5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assumed:</w:t>
      </w:r>
    </w:p>
    <w:p>
      <w:pPr>
        <w:spacing w:after="0" w:line="180" w:lineRule="exact"/>
        <w:rPr>
          <w:sz w:val="20"/>
          <w:szCs w:val="20"/>
          <w:color w:val="auto"/>
        </w:rPr>
      </w:pPr>
    </w:p>
    <w:p>
      <w:pPr>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the genuineness and authenticity of all signatures and the conformity to the originals of all copies (whether or not certified) examined by us and the accuracy, authenticity and completeness of the originals from which such copies were taken;</w:t>
      </w:r>
    </w:p>
    <w:p>
      <w:pPr>
        <w:spacing w:after="0" w:line="123" w:lineRule="exact"/>
        <w:rPr>
          <w:sz w:val="20"/>
          <w:szCs w:val="20"/>
          <w:color w:val="auto"/>
        </w:rPr>
      </w:pPr>
    </w:p>
    <w:p>
      <w:pPr>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that where a document has been examined by us in draft form, it will be or has been executed and/or filed in the form of that draft, and where a number of drafts of a document have been examined by us all changes thereto have been marked or otherwise drawn to our attention;</w:t>
      </w:r>
    </w:p>
    <w:p>
      <w:pPr>
        <w:spacing w:after="0" w:line="121" w:lineRule="exact"/>
        <w:rPr>
          <w:sz w:val="20"/>
          <w:szCs w:val="20"/>
          <w:color w:val="auto"/>
        </w:rPr>
      </w:pPr>
    </w:p>
    <w:p>
      <w:pPr>
        <w:ind w:left="520" w:hanging="510"/>
        <w:spacing w:after="0" w:line="292" w:lineRule="auto"/>
        <w:tabs>
          <w:tab w:leader="none" w:pos="50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the capacity, power and authority of each of the parties to the definitive agreements relating to the Debt Securities, Warrants, Subscription Rights and Units (the “</w:t>
      </w:r>
      <w:r>
        <w:rPr>
          <w:rFonts w:ascii="Times New Roman" w:cs="Times New Roman" w:eastAsia="Times New Roman" w:hAnsi="Times New Roman"/>
          <w:sz w:val="14"/>
          <w:szCs w:val="14"/>
          <w:b w:val="1"/>
          <w:bCs w:val="1"/>
          <w:color w:val="auto"/>
        </w:rPr>
        <w:t>Non-Equity 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Agreements</w:t>
      </w:r>
      <w:r>
        <w:rPr>
          <w:rFonts w:ascii="Times New Roman" w:cs="Times New Roman" w:eastAsia="Times New Roman" w:hAnsi="Times New Roman"/>
          <w:sz w:val="14"/>
          <w:szCs w:val="14"/>
          <w:color w:val="auto"/>
        </w:rPr>
        <w:t>”) other than the Company, to enter into and perform its respective obligations under the Non-Equity Securities Agreements;</w:t>
      </w:r>
    </w:p>
    <w:p>
      <w:pPr>
        <w:spacing w:after="0" w:line="1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the accuracy and completeness of all factual representations made in the Non-Equity Securities Agreements, the Registration Statement, the Prospectus and other documents reviewed by us;</w:t>
      </w:r>
    </w:p>
    <w:p>
      <w:pPr>
        <w:spacing w:after="0" w:line="180" w:lineRule="exact"/>
        <w:rPr>
          <w:sz w:val="20"/>
          <w:szCs w:val="20"/>
          <w:color w:val="auto"/>
        </w:rPr>
      </w:pPr>
    </w:p>
    <w:p>
      <w:pPr>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that the Resolutions were passed at one or more duly convened, constituted and quorate meetings or by unanimous written resolutions, remain in full force and effect and have not been rescinded or amended;</w:t>
      </w:r>
    </w:p>
    <w:p>
      <w:pPr>
        <w:spacing w:after="0" w:line="12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color w:val="auto"/>
        </w:rPr>
        <w:t>that there is no provision of the law of any jurisdiction, other than the Cayman Islands, which would have any implication in relation to the opinions expressed herein;</w:t>
      </w:r>
    </w:p>
    <w:p>
      <w:pPr>
        <w:spacing w:after="0" w:line="180" w:lineRule="exact"/>
        <w:rPr>
          <w:sz w:val="20"/>
          <w:szCs w:val="20"/>
          <w:color w:val="auto"/>
        </w:rPr>
      </w:pPr>
    </w:p>
    <w:p>
      <w:pPr>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4"/>
          <w:szCs w:val="14"/>
          <w:color w:val="auto"/>
        </w:rPr>
        <w:t>that on the date of allotment (where applicable) and issuance of any Securities, the Company is, and after any such allotment and issuance the Company is and will be able to, pay its liabilities as they become due;</w:t>
      </w:r>
    </w:p>
    <w:p>
      <w:pPr>
        <w:spacing w:after="0" w:line="12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4"/>
          <w:szCs w:val="14"/>
          <w:color w:val="auto"/>
        </w:rPr>
        <w:t>that the Company will issue the Securities in furtherance of its objects as set out in its memorandum of association;</w:t>
      </w:r>
    </w:p>
    <w:p>
      <w:pPr>
        <w:spacing w:after="0" w:line="1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4"/>
          <w:szCs w:val="14"/>
          <w:color w:val="auto"/>
        </w:rPr>
        <w:t>that the memorandum and articles of association of the Company will not be amended in any manner that would affect the opinions expressed herein;</w:t>
      </w:r>
    </w:p>
    <w:p>
      <w:pPr>
        <w:spacing w:after="0" w:line="180" w:lineRule="exact"/>
        <w:rPr>
          <w:sz w:val="20"/>
          <w:szCs w:val="20"/>
          <w:color w:val="auto"/>
        </w:rPr>
      </w:pPr>
    </w:p>
    <w:p>
      <w:pPr>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2.10</w:t>
      </w:r>
      <w:r>
        <w:rPr>
          <w:sz w:val="20"/>
          <w:szCs w:val="20"/>
          <w:color w:val="auto"/>
        </w:rPr>
        <w:tab/>
      </w:r>
      <w:r>
        <w:rPr>
          <w:rFonts w:ascii="Times New Roman" w:cs="Times New Roman" w:eastAsia="Times New Roman" w:hAnsi="Times New Roman"/>
          <w:sz w:val="14"/>
          <w:szCs w:val="14"/>
          <w:color w:val="auto"/>
        </w:rPr>
        <w:t>that the Company will have sufficient authorised and unissued share capital to effect the issue of Class A Ordinary Shares at the time of issuance, whether as a principal issue or on the conversion, exchange, or exercise of any Non-Equity Securities;</w:t>
      </w: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conyers.com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7" w:name="page48"/>
    <w:bookmarkEnd w:id="47"/>
    <w:p>
      <w:pPr>
        <w:jc w:val="both"/>
        <w:ind w:left="520" w:hanging="510"/>
        <w:spacing w:after="0" w:line="271" w:lineRule="auto"/>
        <w:tabs>
          <w:tab w:leader="none" w:pos="50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4"/>
          <w:szCs w:val="14"/>
          <w:color w:val="auto"/>
        </w:rPr>
        <w:t>that the form and terms of any and all Securities, the issuance and sale of any Securities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nor any applicable law, regulation, order or decree in the Cayman Islands;</w:t>
      </w:r>
    </w:p>
    <w:p>
      <w:pPr>
        <w:spacing w:after="0" w:line="13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4"/>
          <w:szCs w:val="14"/>
          <w:color w:val="auto"/>
        </w:rPr>
        <w:t>that no invitation has been or will be made by or on behalf of the Company to the public in the Cayman Islands to subscribe for any Securities;</w:t>
      </w:r>
    </w:p>
    <w:p>
      <w:pPr>
        <w:spacing w:after="0" w:line="180" w:lineRule="exact"/>
        <w:rPr>
          <w:sz w:val="20"/>
          <w:szCs w:val="20"/>
          <w:color w:val="auto"/>
        </w:rPr>
      </w:pPr>
    </w:p>
    <w:p>
      <w:pPr>
        <w:jc w:val="both"/>
        <w:ind w:left="520" w:hanging="510"/>
        <w:spacing w:after="0" w:line="271" w:lineRule="auto"/>
        <w:tabs>
          <w:tab w:leader="none" w:pos="500" w:val="left"/>
        </w:tabs>
        <w:rPr>
          <w:sz w:val="20"/>
          <w:szCs w:val="20"/>
          <w:color w:val="auto"/>
        </w:rPr>
      </w:pPr>
      <w:r>
        <w:rPr>
          <w:rFonts w:ascii="Times New Roman" w:cs="Times New Roman" w:eastAsia="Times New Roman" w:hAnsi="Times New Roman"/>
          <w:sz w:val="14"/>
          <w:szCs w:val="14"/>
          <w:color w:val="auto"/>
        </w:rPr>
        <w:t>2.13</w:t>
      </w:r>
      <w:r>
        <w:rPr>
          <w:sz w:val="20"/>
          <w:szCs w:val="20"/>
          <w:color w:val="auto"/>
        </w:rPr>
        <w:tab/>
      </w:r>
      <w:r>
        <w:rPr>
          <w:rFonts w:ascii="Times New Roman" w:cs="Times New Roman" w:eastAsia="Times New Roman" w:hAnsi="Times New Roman"/>
          <w:sz w:val="14"/>
          <w:szCs w:val="14"/>
          <w:color w:val="auto"/>
        </w:rPr>
        <w:t xml:space="preserve">that all necessary corporate action will be taken to authorise and approve any issuance of the Securities, the terms of any offering thereof and related matters, and that the Non-Equity Security Agreements and any applicable supplements to the Prospectus (each, a </w:t>
      </w:r>
      <w:r>
        <w:rPr>
          <w:rFonts w:ascii="Times New Roman" w:cs="Times New Roman" w:eastAsia="Times New Roman" w:hAnsi="Times New Roman"/>
          <w:sz w:val="14"/>
          <w:szCs w:val="14"/>
          <w:b w:val="1"/>
          <w:bCs w:val="1"/>
          <w:color w:val="auto"/>
        </w:rPr>
        <w:t>“Prospectus Supplement”</w:t>
      </w:r>
      <w:r>
        <w:rPr>
          <w:rFonts w:ascii="Times New Roman" w:cs="Times New Roman" w:eastAsia="Times New Roman" w:hAnsi="Times New Roman"/>
          <w:sz w:val="14"/>
          <w:szCs w:val="14"/>
          <w:color w:val="auto"/>
        </w:rPr>
        <w:t>), and any other purchase, underwriting or similar agreement thereto will be duly approved, executed and delivered by or on behalf of the Company and all other parties thereto;</w:t>
      </w:r>
    </w:p>
    <w:p>
      <w:pPr>
        <w:spacing w:after="0" w:line="136" w:lineRule="exact"/>
        <w:rPr>
          <w:sz w:val="20"/>
          <w:szCs w:val="20"/>
          <w:color w:val="auto"/>
        </w:rPr>
      </w:pPr>
    </w:p>
    <w:p>
      <w:pPr>
        <w:jc w:val="both"/>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2.14</w:t>
      </w:r>
      <w:r>
        <w:rPr>
          <w:sz w:val="20"/>
          <w:szCs w:val="20"/>
          <w:color w:val="auto"/>
        </w:rPr>
        <w:tab/>
      </w:r>
      <w:r>
        <w:rPr>
          <w:rFonts w:ascii="Times New Roman" w:cs="Times New Roman" w:eastAsia="Times New Roman" w:hAnsi="Times New Roman"/>
          <w:sz w:val="14"/>
          <w:szCs w:val="14"/>
          <w:color w:val="auto"/>
        </w:rPr>
        <w:t>that upon the issue of any Class A Ordinary Shares to be sold by the Company or upon exercise of the conversion or exchangeable rights or purchase rights to the Non-Equity Securities, the Company will receive consideration for the full issue price thereof which shall be equal to at least the par value of the Class A Ordinary Shares;</w:t>
      </w:r>
    </w:p>
    <w:p>
      <w:pPr>
        <w:spacing w:after="0" w:line="123" w:lineRule="exact"/>
        <w:rPr>
          <w:sz w:val="20"/>
          <w:szCs w:val="20"/>
          <w:color w:val="auto"/>
        </w:rPr>
      </w:pPr>
    </w:p>
    <w:p>
      <w:pPr>
        <w:jc w:val="both"/>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2.15</w:t>
      </w:r>
      <w:r>
        <w:rPr>
          <w:sz w:val="20"/>
          <w:szCs w:val="20"/>
          <w:color w:val="auto"/>
        </w:rPr>
        <w:tab/>
      </w:r>
      <w:r>
        <w:rPr>
          <w:rFonts w:ascii="Times New Roman" w:cs="Times New Roman" w:eastAsia="Times New Roman" w:hAnsi="Times New Roman"/>
          <w:sz w:val="14"/>
          <w:szCs w:val="14"/>
          <w:color w:val="auto"/>
        </w:rPr>
        <w:t>that the Securities to be offered and sold, will be, legal, valid, binding and enforceable against all relevant parties in accordance with their terms pursuant to the applicable governing law and jurisdiction (except to the extent that we expressly opine herein on matters of Cayman Islands law);</w:t>
      </w:r>
    </w:p>
    <w:p>
      <w:pPr>
        <w:spacing w:after="0" w:line="12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2.16</w:t>
      </w:r>
      <w:r>
        <w:rPr>
          <w:sz w:val="20"/>
          <w:szCs w:val="20"/>
          <w:color w:val="auto"/>
        </w:rPr>
        <w:tab/>
      </w:r>
      <w:r>
        <w:rPr>
          <w:rFonts w:ascii="Times New Roman" w:cs="Times New Roman" w:eastAsia="Times New Roman" w:hAnsi="Times New Roman"/>
          <w:sz w:val="14"/>
          <w:szCs w:val="14"/>
          <w:color w:val="auto"/>
        </w:rPr>
        <w:t>that neither the Company nor any of its shareholders is a sovereign entity of any state and none of them is a subsidiary direct or indirect of any sovereign entity or state;</w:t>
      </w:r>
    </w:p>
    <w:p>
      <w:pPr>
        <w:spacing w:after="0" w:line="180" w:lineRule="exact"/>
        <w:rPr>
          <w:sz w:val="20"/>
          <w:szCs w:val="20"/>
          <w:color w:val="auto"/>
        </w:rPr>
      </w:pPr>
    </w:p>
    <w:p>
      <w:pPr>
        <w:jc w:val="both"/>
        <w:ind w:left="520" w:hanging="510"/>
        <w:spacing w:after="0" w:line="271" w:lineRule="auto"/>
        <w:tabs>
          <w:tab w:leader="none" w:pos="500" w:val="left"/>
        </w:tabs>
        <w:rPr>
          <w:sz w:val="20"/>
          <w:szCs w:val="20"/>
          <w:color w:val="auto"/>
        </w:rPr>
      </w:pPr>
      <w:r>
        <w:rPr>
          <w:rFonts w:ascii="Times New Roman" w:cs="Times New Roman" w:eastAsia="Times New Roman" w:hAnsi="Times New Roman"/>
          <w:sz w:val="14"/>
          <w:szCs w:val="14"/>
          <w:color w:val="auto"/>
        </w:rPr>
        <w:t>2.17</w:t>
      </w:r>
      <w:r>
        <w:rPr>
          <w:sz w:val="20"/>
          <w:szCs w:val="20"/>
          <w:color w:val="auto"/>
        </w:rPr>
        <w:tab/>
      </w:r>
      <w:r>
        <w:rPr>
          <w:rFonts w:ascii="Times New Roman" w:cs="Times New Roman" w:eastAsia="Times New Roman" w:hAnsi="Times New Roman"/>
          <w:sz w:val="14"/>
          <w:szCs w:val="14"/>
          <w:color w:val="auto"/>
        </w:rPr>
        <w:t>that the issuance and sale of and payment for the Securities will be in accordance with the Non-Equity Security Agreements and any other purchase, underwriting or similar agreement duly approved by the board of directors of the Company and/or where so required, the shareholders of the Company and the Registration Statement (including the Prospectus, any post-effective amendment thereto and any Prospectus Supplement);</w:t>
      </w:r>
    </w:p>
    <w:p>
      <w:pPr>
        <w:spacing w:after="0" w:line="13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2.18</w:t>
      </w:r>
      <w:r>
        <w:rPr>
          <w:sz w:val="20"/>
          <w:szCs w:val="20"/>
          <w:color w:val="auto"/>
        </w:rPr>
        <w:tab/>
      </w:r>
      <w:r>
        <w:rPr>
          <w:rFonts w:ascii="Times New Roman" w:cs="Times New Roman" w:eastAsia="Times New Roman" w:hAnsi="Times New Roman"/>
          <w:sz w:val="14"/>
          <w:szCs w:val="14"/>
          <w:color w:val="auto"/>
        </w:rPr>
        <w:t>the validity and binding effect under the laws of the United States of America of the Registration Statement and that the Registration Statement will be duly filed with the Commission;</w:t>
      </w:r>
    </w:p>
    <w:p>
      <w:pPr>
        <w:spacing w:after="0" w:line="180" w:lineRule="exact"/>
        <w:rPr>
          <w:sz w:val="20"/>
          <w:szCs w:val="20"/>
          <w:color w:val="auto"/>
        </w:rPr>
      </w:pPr>
    </w:p>
    <w:p>
      <w:pPr>
        <w:jc w:val="both"/>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2.19</w:t>
      </w:r>
      <w:r>
        <w:rPr>
          <w:sz w:val="20"/>
          <w:szCs w:val="20"/>
          <w:color w:val="auto"/>
        </w:rPr>
        <w:tab/>
      </w:r>
      <w:r>
        <w:rPr>
          <w:rFonts w:ascii="Times New Roman" w:cs="Times New Roman" w:eastAsia="Times New Roman" w:hAnsi="Times New Roman"/>
          <w:sz w:val="14"/>
          <w:szCs w:val="14"/>
          <w:color w:val="auto"/>
        </w:rPr>
        <w:t>there is no contractual or other prohibition or restriction (other than as arising under Cayman Islands law) binding on the Company prohibiting or restricting it from entering into and performing its obligations under the Registration Statement and the Securities;</w:t>
      </w:r>
    </w:p>
    <w:p>
      <w:pPr>
        <w:spacing w:after="0" w:line="121" w:lineRule="exact"/>
        <w:rPr>
          <w:sz w:val="20"/>
          <w:szCs w:val="20"/>
          <w:color w:val="auto"/>
        </w:rPr>
      </w:pPr>
    </w:p>
    <w:p>
      <w:pPr>
        <w:jc w:val="both"/>
        <w:ind w:left="520" w:hanging="510"/>
        <w:spacing w:after="0" w:line="292" w:lineRule="auto"/>
        <w:tabs>
          <w:tab w:leader="none" w:pos="500" w:val="left"/>
        </w:tabs>
        <w:rPr>
          <w:sz w:val="20"/>
          <w:szCs w:val="20"/>
          <w:color w:val="auto"/>
        </w:rPr>
      </w:pPr>
      <w:r>
        <w:rPr>
          <w:rFonts w:ascii="Times New Roman" w:cs="Times New Roman" w:eastAsia="Times New Roman" w:hAnsi="Times New Roman"/>
          <w:sz w:val="14"/>
          <w:szCs w:val="14"/>
          <w:color w:val="auto"/>
        </w:rPr>
        <w:t>2.20</w:t>
      </w:r>
      <w:r>
        <w:rPr>
          <w:sz w:val="20"/>
          <w:szCs w:val="20"/>
          <w:color w:val="auto"/>
        </w:rPr>
        <w:tab/>
      </w:r>
      <w:r>
        <w:rPr>
          <w:rFonts w:ascii="Times New Roman" w:cs="Times New Roman" w:eastAsia="Times New Roman" w:hAnsi="Times New Roman"/>
          <w:sz w:val="14"/>
          <w:szCs w:val="14"/>
          <w:color w:val="auto"/>
        </w:rPr>
        <w:t>no restrictions notice (the “</w:t>
      </w:r>
      <w:r>
        <w:rPr>
          <w:rFonts w:ascii="Times New Roman" w:cs="Times New Roman" w:eastAsia="Times New Roman" w:hAnsi="Times New Roman"/>
          <w:sz w:val="14"/>
          <w:szCs w:val="14"/>
          <w:b w:val="1"/>
          <w:bCs w:val="1"/>
          <w:color w:val="auto"/>
        </w:rPr>
        <w:t>Restrictions Notice</w:t>
      </w:r>
      <w:r>
        <w:rPr>
          <w:rFonts w:ascii="Times New Roman" w:cs="Times New Roman" w:eastAsia="Times New Roman" w:hAnsi="Times New Roman"/>
          <w:sz w:val="14"/>
          <w:szCs w:val="14"/>
          <w:color w:val="auto"/>
        </w:rPr>
        <w:t>”) under the Companies Act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has been issued or will be issued with respect to or that may affect, directly or indirectly, any of the shares, interest, rights or obligations of the Company that are the subject of the transactions referred to in the Non-Equity Securities Agreements (the “</w:t>
      </w:r>
      <w:r>
        <w:rPr>
          <w:rFonts w:ascii="Times New Roman" w:cs="Times New Roman" w:eastAsia="Times New Roman" w:hAnsi="Times New Roman"/>
          <w:sz w:val="14"/>
          <w:szCs w:val="14"/>
          <w:b w:val="1"/>
          <w:bCs w:val="1"/>
          <w:color w:val="auto"/>
        </w:rPr>
        <w:t>Relevant Interests</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2.21</w:t>
      </w:r>
      <w:r>
        <w:rPr>
          <w:sz w:val="20"/>
          <w:szCs w:val="20"/>
          <w:color w:val="auto"/>
        </w:rPr>
        <w:tab/>
      </w:r>
      <w:r>
        <w:rPr>
          <w:rFonts w:ascii="Times New Roman" w:cs="Times New Roman" w:eastAsia="Times New Roman" w:hAnsi="Times New Roman"/>
          <w:sz w:val="14"/>
          <w:szCs w:val="14"/>
          <w:color w:val="auto"/>
        </w:rPr>
        <w:t>that the Registration Statement has been declared effective by the Commission prior to, or concurrent with, the sale of the Securities pursuant to the Registration Statement;</w:t>
      </w:r>
    </w:p>
    <w:p>
      <w:pPr>
        <w:spacing w:after="0" w:line="1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2.22</w:t>
      </w:r>
      <w:r>
        <w:rPr>
          <w:sz w:val="20"/>
          <w:szCs w:val="20"/>
          <w:color w:val="auto"/>
        </w:rPr>
        <w:tab/>
      </w:r>
      <w:r>
        <w:rPr>
          <w:rFonts w:ascii="Times New Roman" w:cs="Times New Roman" w:eastAsia="Times New Roman" w:hAnsi="Times New Roman"/>
          <w:sz w:val="14"/>
          <w:szCs w:val="14"/>
          <w:color w:val="auto"/>
        </w:rPr>
        <w:t>that the Offering and the transactions contemplated thereunder comply with the requirements of the applicable rules of The Nasdaq Stock Market LLC; and</w:t>
      </w: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conyers.com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8" w:name="page49"/>
    <w:bookmarkEnd w:id="48"/>
    <w:p>
      <w:pPr>
        <w:spacing w:after="0"/>
        <w:tabs>
          <w:tab w:leader="none" w:pos="500" w:val="left"/>
        </w:tabs>
        <w:rPr>
          <w:sz w:val="20"/>
          <w:szCs w:val="20"/>
          <w:color w:val="auto"/>
        </w:rPr>
      </w:pPr>
      <w:r>
        <w:rPr>
          <w:rFonts w:ascii="Times New Roman" w:cs="Times New Roman" w:eastAsia="Times New Roman" w:hAnsi="Times New Roman"/>
          <w:sz w:val="14"/>
          <w:szCs w:val="14"/>
          <w:color w:val="auto"/>
        </w:rPr>
        <w:t>2.23</w:t>
      </w:r>
      <w:r>
        <w:rPr>
          <w:sz w:val="20"/>
          <w:szCs w:val="20"/>
          <w:color w:val="auto"/>
        </w:rPr>
        <w:tab/>
      </w:r>
      <w:r>
        <w:rPr>
          <w:rFonts w:ascii="Times New Roman" w:cs="Times New Roman" w:eastAsia="Times New Roman" w:hAnsi="Times New Roman"/>
          <w:sz w:val="14"/>
          <w:szCs w:val="14"/>
          <w:color w:val="auto"/>
        </w:rPr>
        <w:t>the Company has not taken any action to appoint a restructuring officer.</w:t>
      </w:r>
    </w:p>
    <w:p>
      <w:pPr>
        <w:spacing w:after="0" w:line="178" w:lineRule="exact"/>
        <w:rPr>
          <w:sz w:val="20"/>
          <w:szCs w:val="20"/>
          <w:color w:val="auto"/>
        </w:rPr>
      </w:pPr>
    </w:p>
    <w:p>
      <w:pPr>
        <w:ind w:left="520" w:hanging="515"/>
        <w:spacing w:after="0"/>
        <w:tabs>
          <w:tab w:leader="none" w:pos="5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QUALIFICATIONS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 The obligations of the Company in connection with any offer, issuance and sale of any Securities:</w:t>
      </w:r>
    </w:p>
    <w:p>
      <w:pPr>
        <w:spacing w:after="0" w:line="180" w:lineRule="exact"/>
        <w:rPr>
          <w:sz w:val="20"/>
          <w:szCs w:val="20"/>
          <w:color w:val="auto"/>
        </w:rPr>
      </w:pPr>
    </w:p>
    <w:p>
      <w:pPr>
        <w:jc w:val="both"/>
        <w:ind w:left="1020" w:hanging="504"/>
        <w:spacing w:after="0" w:line="271"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subject to the laws from time to time in effect relating to bankruptcy, insolvency, liquidation, possessory liens, rights of set off, reorganisation, amalgamation, merger, consolidation, moratorium, bribery, corruption, money laundering, terrorist financing, proliferation financing or any other laws or legal procedures, whether of a similar nature or otherwise, generally affecting the rights of creditors as well as applicable international sanctions;</w:t>
      </w:r>
    </w:p>
    <w:p>
      <w:pPr>
        <w:spacing w:after="0" w:line="136"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subject to statutory limitation of the time within which proceedings may be brought;</w:t>
      </w:r>
    </w:p>
    <w:p>
      <w:pPr>
        <w:spacing w:after="0" w:line="179"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subject to general principles of equity and, as such, specific performance and injunctive relief, being equitable remedies, may not be available;</w:t>
      </w:r>
    </w:p>
    <w:p>
      <w:pPr>
        <w:spacing w:after="0" w:line="179" w:lineRule="exact"/>
        <w:rPr>
          <w:rFonts w:ascii="Times New Roman" w:cs="Times New Roman" w:eastAsia="Times New Roman" w:hAnsi="Times New Roman"/>
          <w:sz w:val="14"/>
          <w:szCs w:val="14"/>
          <w:color w:val="auto"/>
        </w:rPr>
      </w:pPr>
    </w:p>
    <w:p>
      <w:pPr>
        <w:ind w:left="1020" w:hanging="504"/>
        <w:spacing w:after="0" w:line="289"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be given effect to by a Cayman Islands court, whether or not it was applying foreign laws, if and to the extent they constitute the payment of an amount which is in the nature of a penalty;</w:t>
      </w:r>
    </w:p>
    <w:p>
      <w:pPr>
        <w:spacing w:after="0" w:line="123" w:lineRule="exact"/>
        <w:rPr>
          <w:rFonts w:ascii="Times New Roman" w:cs="Times New Roman" w:eastAsia="Times New Roman" w:hAnsi="Times New Roman"/>
          <w:sz w:val="14"/>
          <w:szCs w:val="14"/>
          <w:color w:val="auto"/>
        </w:rPr>
      </w:pPr>
    </w:p>
    <w:p>
      <w:pPr>
        <w:ind w:left="1020" w:hanging="504"/>
        <w:spacing w:after="0" w:line="289"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applicable purchase, underwriting, or similar agreement and any other agreement or document relating to the issue of the Class A Ordinary Shares, may be subject to the common law rules that damages against the Company are only available where the purchaser of the Class A Ordinary Shares rescinds such agreement; and</w:t>
      </w:r>
    </w:p>
    <w:p>
      <w:pPr>
        <w:spacing w:after="0" w:line="123" w:lineRule="exact"/>
        <w:rPr>
          <w:rFonts w:ascii="Times New Roman" w:cs="Times New Roman" w:eastAsia="Times New Roman" w:hAnsi="Times New Roman"/>
          <w:sz w:val="14"/>
          <w:szCs w:val="14"/>
          <w:color w:val="auto"/>
        </w:rPr>
      </w:pPr>
    </w:p>
    <w:p>
      <w:pPr>
        <w:jc w:val="both"/>
        <w:ind w:left="1020" w:hanging="504"/>
        <w:spacing w:after="0" w:line="265"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be given effect by a Cayman Islands court to the extent that they are to be performed in a jurisdiction outside the Cayman Islands and such performance would be illegal under the laws of that jurisdiction. Notwithstanding any contractual submission to the exclusive or non-exclusive jurisdiction of specific courts, a Cayman Islands court has inherent discretion to stay or allow proceedings in the Cayman Islands against the Company under the Securities if there are other proceedings in respect of those Securities simultaneously underway against the Company in another jurisdiction.</w:t>
      </w:r>
    </w:p>
    <w:p>
      <w:pPr>
        <w:spacing w:after="0" w:line="141" w:lineRule="exact"/>
        <w:rPr>
          <w:sz w:val="20"/>
          <w:szCs w:val="20"/>
          <w:color w:val="auto"/>
        </w:rPr>
      </w:pPr>
    </w:p>
    <w:p>
      <w:pPr>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We express no opinion as to the enforceability of any provision of any document which provides for the payment of a specified rate of interest on the amount of a judgment after the date of judgment or which purports to fetter the statutory powers of the Company or which purports to grant exclusive jurisdiction to any courts.</w:t>
      </w:r>
    </w:p>
    <w:p>
      <w:pPr>
        <w:spacing w:after="0" w:line="123" w:lineRule="exact"/>
        <w:rPr>
          <w:sz w:val="20"/>
          <w:szCs w:val="20"/>
          <w:color w:val="auto"/>
        </w:rPr>
      </w:pPr>
    </w:p>
    <w:p>
      <w:pPr>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color w:val="auto"/>
        </w:rPr>
        <w:t>Enforcement of the Non-Equity Securities Agreements to the extent they relate to the Relevant Interests may be affected or prohibited if a Restrictions Notice is issued in respect of such Relevant Interests in accordance with the Beneficial Ownership Transparency Act.</w:t>
      </w:r>
    </w:p>
    <w:p>
      <w:pPr>
        <w:spacing w:after="0" w:line="123" w:lineRule="exact"/>
        <w:rPr>
          <w:sz w:val="20"/>
          <w:szCs w:val="20"/>
          <w:color w:val="auto"/>
        </w:rPr>
      </w:pPr>
    </w:p>
    <w:p>
      <w:pPr>
        <w:ind w:left="520" w:hanging="510"/>
        <w:spacing w:after="0" w:line="289" w:lineRule="auto"/>
        <w:tabs>
          <w:tab w:leader="none" w:pos="50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color w:val="auto"/>
        </w:rPr>
        <w:t>We express no opinion as to the meaning, validity or effect of any references to foreign (non-Cayman Islands) statutes, rules, regulations, codes, judicial authority or any other promulgations and any references to them in the Non-Equity Securities Agreements.</w:t>
      </w:r>
    </w:p>
    <w:p>
      <w:pPr>
        <w:spacing w:after="0" w:line="294"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4"/>
          <w:szCs w:val="14"/>
          <w:color w:val="auto"/>
        </w:rPr>
        <w:t>conyers.com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9" w:name="page50"/>
    <w:bookmarkEnd w:id="49"/>
    <w:p>
      <w:pPr>
        <w:spacing w:after="0"/>
        <w:tabs>
          <w:tab w:leader="none" w:pos="500" w:val="left"/>
        </w:tabs>
        <w:rPr>
          <w:sz w:val="20"/>
          <w:szCs w:val="20"/>
          <w:color w:val="auto"/>
        </w:rPr>
      </w:pPr>
      <w:r>
        <w:rPr>
          <w:rFonts w:ascii="Times New Roman" w:cs="Times New Roman" w:eastAsia="Times New Roman" w:hAnsi="Times New Roman"/>
          <w:sz w:val="14"/>
          <w:szCs w:val="14"/>
          <w:color w:val="auto"/>
        </w:rPr>
        <w:t>3.5</w:t>
      </w:r>
      <w:r>
        <w:rPr>
          <w:sz w:val="20"/>
          <w:szCs w:val="20"/>
          <w:color w:val="auto"/>
        </w:rPr>
        <w:tab/>
      </w:r>
      <w:r>
        <w:rPr>
          <w:rFonts w:ascii="Times New Roman" w:cs="Times New Roman" w:eastAsia="Times New Roman" w:hAnsi="Times New Roman"/>
          <w:sz w:val="14"/>
          <w:szCs w:val="14"/>
          <w:color w:val="auto"/>
        </w:rPr>
        <w:t>We have not reviewed any of the Non-Equity Securities Agreements to be issued thereunder and our opinions are qualified accordingly.</w:t>
      </w:r>
    </w:p>
    <w:p>
      <w:pPr>
        <w:spacing w:after="0" w:line="180" w:lineRule="exact"/>
        <w:rPr>
          <w:sz w:val="20"/>
          <w:szCs w:val="20"/>
          <w:color w:val="auto"/>
        </w:rPr>
      </w:pPr>
    </w:p>
    <w:p>
      <w:pPr>
        <w:jc w:val="both"/>
        <w:ind w:left="520" w:hanging="510"/>
        <w:spacing w:after="0" w:line="271" w:lineRule="auto"/>
        <w:tabs>
          <w:tab w:leader="none" w:pos="500" w:val="left"/>
        </w:tabs>
        <w:rPr>
          <w:sz w:val="20"/>
          <w:szCs w:val="20"/>
          <w:color w:val="auto"/>
        </w:rPr>
      </w:pPr>
      <w:r>
        <w:rPr>
          <w:rFonts w:ascii="Times New Roman" w:cs="Times New Roman" w:eastAsia="Times New Roman" w:hAnsi="Times New Roman"/>
          <w:sz w:val="14"/>
          <w:szCs w:val="14"/>
          <w:color w:val="auto"/>
        </w:rPr>
        <w:t>3.6</w:t>
      </w:r>
      <w:r>
        <w:rPr>
          <w:sz w:val="20"/>
          <w:szCs w:val="20"/>
          <w:color w:val="auto"/>
        </w:rPr>
        <w:tab/>
      </w:r>
      <w:r>
        <w:rPr>
          <w:rFonts w:ascii="Times New Roman" w:cs="Times New Roman" w:eastAsia="Times New Roman" w:hAnsi="Times New Roman"/>
          <w:sz w:val="14"/>
          <w:szCs w:val="14"/>
          <w:color w:val="auto"/>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 This opinion is issued solely for the purposes of the filing of the Registration Statement and is not to be relied upon in respect of any other matter.</w:t>
      </w:r>
    </w:p>
    <w:p>
      <w:pPr>
        <w:spacing w:after="0" w:line="134" w:lineRule="exact"/>
        <w:rPr>
          <w:sz w:val="20"/>
          <w:szCs w:val="20"/>
          <w:color w:val="auto"/>
        </w:rPr>
      </w:pPr>
    </w:p>
    <w:p>
      <w:pPr>
        <w:ind w:left="520" w:hanging="515"/>
        <w:spacing w:after="0"/>
        <w:tabs>
          <w:tab w:leader="none" w:pos="5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the basis of and subject to the foregoing, we are of the opinion that:</w:t>
      </w:r>
    </w:p>
    <w:p>
      <w:pPr>
        <w:spacing w:after="0" w:line="180" w:lineRule="exact"/>
        <w:rPr>
          <w:sz w:val="20"/>
          <w:szCs w:val="20"/>
          <w:color w:val="auto"/>
        </w:rPr>
      </w:pPr>
    </w:p>
    <w:p>
      <w:pPr>
        <w:jc w:val="both"/>
        <w:ind w:left="520" w:hanging="510"/>
        <w:spacing w:after="0" w:line="271" w:lineRule="auto"/>
        <w:tabs>
          <w:tab w:leader="none" w:pos="50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The Company is duly incorporated and existing under the law of the Cayman Islands and, based on the Certificate of Good Standing, is in good standing as at the Certificate Date. Pursuant to the Act, a company is deemed to be in good standing if all fees and penalties under the Act have been paid and the Registrar of Companies has no knowledge that the Company is in default under the Act.</w:t>
      </w:r>
    </w:p>
    <w:p>
      <w:pPr>
        <w:spacing w:after="0" w:line="136" w:lineRule="exact"/>
        <w:rPr>
          <w:sz w:val="20"/>
          <w:szCs w:val="20"/>
          <w:color w:val="auto"/>
        </w:rPr>
      </w:pPr>
    </w:p>
    <w:p>
      <w:pPr>
        <w:jc w:val="both"/>
        <w:ind w:left="520" w:hanging="510"/>
        <w:spacing w:after="0" w:line="271" w:lineRule="auto"/>
        <w:tabs>
          <w:tab w:leader="none" w:pos="50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When issued and paid for as contemplated in the Non-Equity Securities Agreements, the Registration Statement, the Prospectus, any post-effective amendment thereto and any Prospectus Supplement, the Class A Ordinary Shares will be validly issued, fully paid and non-assessable (which term when used herein means that no further sums are required to be paid by the holders thereof in connection with the issue thereof).</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2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references to our firm under the captions “Enforceability of Civil Liabilities” and “Legal Matters” in the prospectus forming a part of the Registration Statement.</w:t>
      </w:r>
    </w:p>
    <w:p>
      <w:pPr>
        <w:spacing w:after="0" w:line="12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Conyers Dill &amp; Pearman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Conyers Dill &amp; Pearman</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conyers.com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on Form F-3 of our report dated April 24, 2026 with respect to the audited consolidated financial statements of Ebang International Holdings Inc., appearing in this Annual Report on Form 20-F for the year ended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MaloneBailey,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www.malonebailey.com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24, 2026</w:t>
      </w:r>
    </w:p>
    <w:p>
      <w:pPr>
        <w:sectPr>
          <w:pgSz w:w="11900" w:h="16838" w:orient="portrait"/>
          <w:cols w:equalWidth="0" w:num="1">
            <w:col w:w="11280"/>
          </w:cols>
          <w:pgMar w:left="300" w:top="116" w:right="319" w:bottom="1440" w:gutter="0" w:footer="0" w:header="0"/>
        </w:sectPr>
      </w:pPr>
    </w:p>
    <w:bookmarkStart w:id="51" w:name="page52"/>
    <w:bookmarkEnd w:id="51"/>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Ebang International Holdings Inc.</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1"/>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ind w:left="42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4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4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Maximum</w:t>
            </w:r>
          </w:p>
        </w:tc>
        <w:tc>
          <w:tcPr>
            <w:tcW w:w="40" w:type="dxa"/>
            <w:vAlign w:val="bottom"/>
          </w:tcPr>
          <w:p>
            <w:pPr>
              <w:spacing w:after="0"/>
              <w:rPr>
                <w:sz w:val="16"/>
                <w:szCs w:val="16"/>
                <w:color w:val="auto"/>
              </w:rPr>
            </w:pPr>
          </w:p>
        </w:tc>
        <w:tc>
          <w:tcPr>
            <w:tcW w:w="8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4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Class 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8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4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6"/>
                <w:szCs w:val="16"/>
                <w:color w:val="auto"/>
              </w:rPr>
            </w:pPr>
          </w:p>
        </w:tc>
        <w:tc>
          <w:tcPr>
            <w:tcW w:w="8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Unit</w:t>
            </w:r>
          </w:p>
        </w:tc>
        <w:tc>
          <w:tcPr>
            <w:tcW w:w="4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-1253490</wp:posOffset>
            </wp:positionV>
            <wp:extent cx="7212965" cy="55511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12965" cy="555117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40" w:type="dxa"/>
            <w:vAlign w:val="bottom"/>
            <w:gridSpan w:val="7"/>
          </w:tcPr>
          <w:p>
            <w:pPr>
              <w:jc w:val="center"/>
              <w:ind w:left="395"/>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40" w:type="dxa"/>
            <w:vAlign w:val="bottom"/>
            <w:gridSpan w:val="7"/>
          </w:tcPr>
          <w:p>
            <w:pPr>
              <w:jc w:val="center"/>
              <w:ind w:left="415"/>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E7E7E2"/>
          </w:tcPr>
          <w:p>
            <w:pPr>
              <w:spacing w:after="0" w:line="192" w:lineRule="exact"/>
              <w:rPr>
                <w:sz w:val="20"/>
                <w:szCs w:val="20"/>
                <w:color w:val="auto"/>
              </w:rPr>
            </w:pPr>
            <w:r>
              <w:rPr>
                <w:rFonts w:ascii="Arial" w:cs="Arial" w:eastAsia="Arial" w:hAnsi="Arial"/>
                <w:sz w:val="17"/>
                <w:szCs w:val="17"/>
                <w:color w:val="auto"/>
              </w:rPr>
              <w:t>Shares, par</w:t>
            </w: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E7E7E2"/>
          </w:tcPr>
          <w:p>
            <w:pPr>
              <w:jc w:val="center"/>
              <w:spacing w:after="0" w:line="192" w:lineRule="exact"/>
              <w:rPr>
                <w:sz w:val="20"/>
                <w:szCs w:val="20"/>
                <w:color w:val="auto"/>
              </w:rPr>
            </w:pPr>
            <w:r>
              <w:rPr>
                <w:rFonts w:ascii="Arial" w:cs="Arial" w:eastAsia="Arial" w:hAnsi="Arial"/>
                <w:sz w:val="17"/>
                <w:szCs w:val="17"/>
                <w:color w:val="auto"/>
              </w:rPr>
              <w:t>333-</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E7E7E2"/>
          </w:tcPr>
          <w:p>
            <w:pPr>
              <w:ind w:left="120"/>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F-3</w:t>
            </w: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06/14/2023</w:t>
            </w: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value $HK</w:t>
            </w: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8"/>
              </w:rPr>
              <w:t>271512</w:t>
            </w: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0.03 per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333-</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E7E7E2"/>
          </w:tcPr>
          <w:p>
            <w:pPr>
              <w:ind w:left="120"/>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F-3</w:t>
            </w: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06/14/2023</w:t>
            </w: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8"/>
              </w:rPr>
              <w:t>271512</w:t>
            </w: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E7E7E2"/>
          </w:tcPr>
          <w:p>
            <w:pPr>
              <w:spacing w:after="0" w:line="150"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333-</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8"/>
                <w:szCs w:val="8"/>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8"/>
                <w:szCs w:val="8"/>
                <w:color w:val="auto"/>
              </w:rPr>
            </w:pPr>
          </w:p>
        </w:tc>
        <w:tc>
          <w:tcPr>
            <w:tcW w:w="960" w:type="dxa"/>
            <w:vAlign w:val="bottom"/>
            <w:vMerge w:val="restart"/>
            <w:shd w:val="clear" w:color="auto" w:fill="E7E7E2"/>
          </w:tcPr>
          <w:p>
            <w:pPr>
              <w:ind w:left="120"/>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F-3</w:t>
            </w: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06/14/2023</w:t>
            </w: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8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jc w:val="center"/>
              <w:spacing w:after="0" w:line="112" w:lineRule="exact"/>
              <w:rPr>
                <w:sz w:val="20"/>
                <w:szCs w:val="20"/>
                <w:color w:val="auto"/>
              </w:rPr>
            </w:pPr>
            <w:r>
              <w:rPr>
                <w:rFonts w:ascii="Arial" w:cs="Arial" w:eastAsia="Arial" w:hAnsi="Arial"/>
                <w:sz w:val="12"/>
                <w:szCs w:val="12"/>
                <w:color w:val="auto"/>
              </w:rPr>
              <w:t>271512</w:t>
            </w: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Subscription</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333-</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E7E7E2"/>
          </w:tcPr>
          <w:p>
            <w:pPr>
              <w:ind w:left="120"/>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F-3</w:t>
            </w: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06/14/2023</w:t>
            </w: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Rights</w:t>
            </w: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8"/>
              </w:rPr>
              <w:t>271512</w:t>
            </w: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E7E7E2"/>
          </w:tcPr>
          <w:p>
            <w:pPr>
              <w:spacing w:after="0" w:line="150"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333-</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8"/>
                <w:szCs w:val="8"/>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8"/>
                <w:szCs w:val="8"/>
                <w:color w:val="auto"/>
              </w:rPr>
            </w:pPr>
          </w:p>
        </w:tc>
        <w:tc>
          <w:tcPr>
            <w:tcW w:w="960" w:type="dxa"/>
            <w:vAlign w:val="bottom"/>
            <w:vMerge w:val="restart"/>
            <w:shd w:val="clear" w:color="auto" w:fill="E7E7E2"/>
          </w:tcPr>
          <w:p>
            <w:pPr>
              <w:ind w:left="120"/>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F-3</w:t>
            </w: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06/14/2023</w:t>
            </w: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8"/>
              </w:rPr>
              <w:t>271512</w:t>
            </w: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E7E7E2"/>
          </w:tcPr>
          <w:p>
            <w:pPr>
              <w:spacing w:after="0" w:line="150"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ind w:left="20"/>
              <w:spacing w:after="0" w:line="181" w:lineRule="exact"/>
              <w:rPr>
                <w:sz w:val="20"/>
                <w:szCs w:val="20"/>
                <w:color w:val="auto"/>
              </w:rPr>
            </w:pPr>
            <w:r>
              <w:rPr>
                <w:rFonts w:ascii="Arial" w:cs="Arial" w:eastAsia="Arial" w:hAnsi="Arial"/>
                <w:sz w:val="17"/>
                <w:szCs w:val="17"/>
                <w:color w:val="auto"/>
              </w:rPr>
              <w:t>Unallocated</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333-</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E7E7E2"/>
          </w:tcPr>
          <w:p>
            <w:pPr>
              <w:ind w:left="120"/>
              <w:spacing w:after="0"/>
              <w:rPr>
                <w:sz w:val="20"/>
                <w:szCs w:val="20"/>
                <w:color w:val="auto"/>
              </w:rPr>
            </w:pPr>
            <w:r>
              <w:rPr>
                <w:rFonts w:ascii="Arial" w:cs="Arial" w:eastAsia="Arial" w:hAnsi="Arial"/>
                <w:sz w:val="17"/>
                <w:szCs w:val="17"/>
                <w:color w:val="auto"/>
              </w:rPr>
              <w:t>415(a)(6)</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$ 8,265.00</w:t>
            </w: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F-3</w:t>
            </w: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06/14/2023</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$ 8,265.00</w:t>
            </w:r>
          </w:p>
        </w:tc>
        <w:tc>
          <w:tcPr>
            <w:tcW w:w="0" w:type="dxa"/>
            <w:vAlign w:val="bottom"/>
          </w:tcPr>
          <w:p>
            <w:pPr>
              <w:spacing w:after="0"/>
              <w:rPr>
                <w:sz w:val="1"/>
                <w:szCs w:val="1"/>
                <w:color w:val="auto"/>
              </w:rPr>
            </w:pPr>
          </w:p>
        </w:tc>
      </w:tr>
      <w:tr>
        <w:trPr>
          <w:trHeight w:val="112"/>
        </w:trPr>
        <w:tc>
          <w:tcPr>
            <w:tcW w:w="8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jc w:val="center"/>
              <w:spacing w:after="0" w:line="112" w:lineRule="exact"/>
              <w:rPr>
                <w:sz w:val="20"/>
                <w:szCs w:val="20"/>
                <w:color w:val="auto"/>
              </w:rPr>
            </w:pPr>
            <w:r>
              <w:rPr>
                <w:rFonts w:ascii="Arial" w:cs="Arial" w:eastAsia="Arial" w:hAnsi="Arial"/>
                <w:sz w:val="12"/>
                <w:szCs w:val="12"/>
                <w:color w:val="auto"/>
              </w:rPr>
              <w:t>271512</w:t>
            </w: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Shelf</w:t>
            </w: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$ 8,265.00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5"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1a. Ebang International Holdings Inc. is registering the following securities having an aggregate offering price of up to $75,000,000 for issuance and sale from time to time in one or more offerings by Ebang International Holdings Inc.: (i) an indeterminate number of Class A ordinary shares, par value HK$0.03 per share ("Class A ordinary shares"), of Ebang International Holdings Inc., (ii) an indeterminate principal amount of debt securities of Ebang International Holdings Inc., (iii) an indeterminate number of warrants of Ebang International Holdings Inc. to purchase Class A ordinary shares or debt securities of Ebang International Holdings Inc., (iv) an indeterminate number of subscription rights of Ebang International Holdings Inc., and (v) an indeterminate number of units of Ebang International Holdings Inc. If any debt securities are issued at an original issue discount, then the principal amount of such debt securities shall be in such greater amount as shall result in an aggregate initial offering price not to exceed $75,000,000, less the aggregate dollar amount of all securities previously issued hereunder. The securities registered also include such indeterminate number of securities as may be issued upon conversion or exchange of other securities, upon exercise of warrants or pursuant to the antidilution provisions of any such securities. In addition, pursuant to Rule 416 under the Securities Act of 1933, as amended (the "Securities Act"), the Class A ordinary shares being registered hereunder include such indeterminate number of Class A ordinary shares as may be issuable with respect to the Class A ordinary shares being registered hereunder as a result of stock splits, stock dividends or similar transactions.</w:t>
      </w:r>
    </w:p>
    <w:p>
      <w:pPr>
        <w:spacing w:after="0" w:line="166" w:lineRule="exact"/>
        <w:rPr>
          <w:sz w:val="20"/>
          <w:szCs w:val="20"/>
          <w:color w:val="auto"/>
        </w:rPr>
      </w:pPr>
    </w:p>
    <w:p>
      <w:pPr>
        <w:jc w:val="both"/>
        <w:ind w:left="220" w:right="160"/>
        <w:spacing w:after="0" w:line="252" w:lineRule="auto"/>
        <w:rPr>
          <w:sz w:val="20"/>
          <w:szCs w:val="20"/>
          <w:color w:val="auto"/>
        </w:rPr>
      </w:pPr>
      <w:r>
        <w:rPr>
          <w:rFonts w:ascii="Arial" w:cs="Arial" w:eastAsia="Arial" w:hAnsi="Arial"/>
          <w:sz w:val="17"/>
          <w:szCs w:val="17"/>
          <w:color w:val="auto"/>
        </w:rPr>
        <w:t>1b.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w:t>
      </w:r>
    </w:p>
    <w:p>
      <w:pPr>
        <w:spacing w:after="0" w:line="151" w:lineRule="exact"/>
        <w:rPr>
          <w:sz w:val="20"/>
          <w:szCs w:val="20"/>
          <w:color w:val="auto"/>
        </w:rPr>
      </w:pPr>
    </w:p>
    <w:p>
      <w:pPr>
        <w:ind w:left="220" w:right="160"/>
        <w:spacing w:after="0" w:line="238" w:lineRule="auto"/>
        <w:rPr>
          <w:sz w:val="20"/>
          <w:szCs w:val="20"/>
          <w:color w:val="auto"/>
        </w:rPr>
      </w:pPr>
      <w:r>
        <w:rPr>
          <w:rFonts w:ascii="Arial" w:cs="Arial" w:eastAsia="Arial" w:hAnsi="Arial"/>
          <w:sz w:val="17"/>
          <w:szCs w:val="17"/>
          <w:color w:val="auto"/>
        </w:rPr>
        <w:t>1c. Pursuant to Rule 415(a)(6) under the Securities Act, the securities registered pursuant to this Registration Statement include $75,000,000 of unsold Class A ordinary shares, debt securities, warrants, subscription rights and units (collectively, the "Unsold Securities") previously registered pursuant to the shelf registration statement on Form F-3, as amended (File No. 333-271512), which was declared effective by the U.S. Securities and Exchange Commission (the "SEC") on June 14, 2023 (such registration statement, the "Prior Registration Statement"). The registrant paid filing fees for the Unsold Securities in an aggregate amount of $8,265.00 in connection with the filing of the Prior Registration Statement. Such filing fees associated with the offering of the Unsold Securities are hereby carried forward to be applied to the Unsold Securities registered hereunder, and no additional filing fee is due with respect to the Unsold Securities in connection with the filing of this Registration Statement. The registrant is only registering the Unsold Securities on this Registration Statement and is not registering any new securities.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w:t>
      </w:r>
    </w:p>
    <w:p>
      <w:pPr>
        <w:sectPr>
          <w:pgSz w:w="11900" w:h="16838" w:orient="portrait"/>
          <w:cols w:equalWidth="0" w:num="1">
            <w:col w:w="11360"/>
          </w:cols>
          <w:pgMar w:left="300" w:top="142" w:right="239" w:bottom="0" w:gutter="0" w:footer="0" w:header="0"/>
        </w:sectPr>
      </w:pPr>
    </w:p>
    <w:bookmarkStart w:id="52" w:name="page53"/>
    <w:bookmarkEnd w:id="52"/>
    <w:p>
      <w:pPr>
        <w:ind w:left="220" w:right="80"/>
        <w:spacing w:after="0" w:line="271" w:lineRule="auto"/>
        <w:rPr>
          <w:sz w:val="20"/>
          <w:szCs w:val="20"/>
          <w:color w:val="auto"/>
        </w:rPr>
      </w:pPr>
      <w:r>
        <w:rPr>
          <w:rFonts w:ascii="Arial" w:cs="Arial" w:eastAsia="Arial" w:hAnsi="Arial"/>
          <w:sz w:val="17"/>
          <w:szCs w:val="17"/>
          <w:color w:val="auto"/>
        </w:rPr>
        <w:t>of new securities to be registered on this Registration Statement. Pursuant to Rule 415(a)(6), the offering of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714629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52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6"/>
              </w:rPr>
              <w:t>Filing</w:t>
            </w:r>
          </w:p>
        </w:tc>
        <w:tc>
          <w:tcPr>
            <w:tcW w:w="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jc w:val="center"/>
              <w:ind w:right="255"/>
              <w:spacing w:after="0" w:line="192"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2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Date</w:t>
            </w:r>
          </w:p>
        </w:tc>
        <w:tc>
          <w:tcPr>
            <w:tcW w:w="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gridSpan w:val="4"/>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5"/>
          </w:tcPr>
          <w:p>
            <w:pPr>
              <w:jc w:val="center"/>
              <w:ind w:right="217"/>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8"/>
          </w:tcPr>
          <w:p>
            <w:pPr>
              <w:jc w:val="center"/>
              <w:ind w:right="22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1220" w:type="dxa"/>
            <w:vAlign w:val="bottom"/>
            <w:gridSpan w:val="5"/>
            <w:shd w:val="clear" w:color="auto" w:fill="9ADAF6"/>
          </w:tcPr>
          <w:p>
            <w:pPr>
              <w:jc w:val="center"/>
              <w:ind w:right="255"/>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900" w:type="dxa"/>
            <w:vAlign w:val="bottom"/>
            <w:gridSpan w:val="5"/>
            <w:shd w:val="clear" w:color="auto" w:fill="9ADAF6"/>
          </w:tcPr>
          <w:p>
            <w:pPr>
              <w:jc w:val="center"/>
              <w:ind w:right="38"/>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20" w:type="dxa"/>
            <w:vAlign w:val="bottom"/>
            <w:gridSpan w:val="5"/>
            <w:vMerge w:val="restart"/>
            <w:shd w:val="clear" w:color="auto" w:fill="9ADAF6"/>
          </w:tcPr>
          <w:p>
            <w:pPr>
              <w:jc w:val="center"/>
              <w:ind w:right="275"/>
              <w:spacing w:after="0" w:line="192"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restart"/>
            <w:shd w:val="clear" w:color="auto" w:fill="9ADAF6"/>
          </w:tcPr>
          <w:p>
            <w:pPr>
              <w:jc w:val="center"/>
              <w:ind w:right="138"/>
              <w:spacing w:after="0" w:line="192"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2"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2"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20" w:type="dxa"/>
            <w:vAlign w:val="bottom"/>
            <w:gridSpan w:val="5"/>
            <w:vMerge w:val="restart"/>
            <w:shd w:val="clear" w:color="auto" w:fill="9ADAF6"/>
          </w:tcPr>
          <w:p>
            <w:pPr>
              <w:ind w:left="620"/>
              <w:spacing w:after="0" w:line="192"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2"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2"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2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restart"/>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38"/>
              <w:spacing w:after="0" w:line="192"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2"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800" w:type="dxa"/>
            <w:vAlign w:val="bottom"/>
            <w:gridSpan w:val="3"/>
            <w:vMerge w:val="restart"/>
            <w:shd w:val="clear" w:color="auto" w:fill="9ADAF6"/>
          </w:tcPr>
          <w:p>
            <w:pPr>
              <w:jc w:val="center"/>
              <w:ind w:right="118"/>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amp;"/>
      <w:numFmt w:val="bullet"/>
      <w:start w:val="1"/>
    </w:lvl>
  </w:abstractNum>
  <w:abstractNum w:abstractNumId="23">
    <w:nsid w:val="2901D8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4">
    <w:nsid w:val="3A95F874"/>
    <w:multiLevelType w:val="hybridMultilevel"/>
    <w:lvl w:ilvl="0">
      <w:lvlJc w:val="left"/>
      <w:lvlText w:val="(%1)"/>
      <w:numFmt w:val="decimal"/>
      <w:start w:val="2"/>
    </w:lvl>
    <w:lvl w:ilvl="1">
      <w:lvlJc w:val="left"/>
      <w:lvlText w:val="(%2)"/>
      <w:numFmt w:val="lowerRoman"/>
      <w:start w:val="1"/>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1"/>
      <w:numFmt w:val="upperLetter"/>
      <w:start w:val="1"/>
    </w:lvl>
    <w:lvl w:ilvl="1">
      <w:lvlJc w:val="left"/>
      <w:lvlText w:val="(%2)"/>
      <w:numFmt w:val="lowerRoman"/>
      <w:start w:val="2"/>
    </w:lvl>
  </w:abstractNum>
  <w:abstractNum w:abstractNumId="27">
    <w:nsid w:val="7C3DBD3D"/>
    <w:multiLevelType w:val="hybridMultilevel"/>
    <w:lvl w:ilvl="0">
      <w:lvlJc w:val="left"/>
      <w:lvlText w:val="(%1)"/>
      <w:numFmt w:val="upperLetter"/>
      <w:start w:val="2"/>
    </w:lvl>
    <w:lvl w:ilvl="1">
      <w:lvlJc w:val="left"/>
      <w:lvlText w:val="%2"/>
      <w:numFmt w:val="lowerRoman"/>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2"/>
    </w:lvl>
  </w:abstractNum>
  <w:abstractNum w:abstractNumId="31">
    <w:nsid w:val="4516DDE9"/>
    <w:multiLevelType w:val="hybridMultilevel"/>
    <w:lvl w:ilvl="0">
      <w:lvlJc w:val="left"/>
      <w:lvlText w:val="%1."/>
      <w:numFmt w:val="decimal"/>
      <w:start w:val="3"/>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23" Type="http://schemas.openxmlformats.org/officeDocument/2006/relationships/hyperlink" Target="http://www.sec.gov/ix?doc=/Archives/edgar/data/1799290/000121390026047509/ea0286394-20f_ebang.htm" TargetMode="External"/><Relationship Id="rId24" Type="http://schemas.openxmlformats.org/officeDocument/2006/relationships/hyperlink" Target="https://www.sec.gov/Archives/edgar/data/1799290/000121390020015159/ea122998-8a12b_ebang.htm" TargetMode="External"/><Relationship Id="rId25" Type="http://schemas.openxmlformats.org/officeDocument/2006/relationships/hyperlink" Target="http://www.sec.gov/Archives/edgar/data/1799290/000121390026047509/ea028639401ex2-5.htm" TargetMode="External"/><Relationship Id="rId62" Type="http://schemas.openxmlformats.org/officeDocument/2006/relationships/hyperlink" Target="https://www.sec.gov/Archives/edgar/data/1799290/000121390021066799/ea152801ex3-1_eba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2026-04-24T16:01:09Z</dcterms:created>
  <dcterms:modified xsi:type="dcterms:W3CDTF">2026-04-24T16:01:09Z</dcterms:modified>
</cp:coreProperties>
</file>