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Ebang International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7, No. 5 Nangonghe Road, Linping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Yuhang District, Hangzhou, Zhejiang, 311100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+86 571-8817-6197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Amendment to Memorandum and Articles of Association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2021, Ebang International Holdings Inc. (the “Registrant”), acting pursuant to authority received at its annual general meeting of shareholders held on December 15, 2021, filed Second Amended and Restated Memorandum of Association and Articles of Association (the “Second A&amp;R Memorandum and Articles”), with the General Registry Department of the Cayman Islands, thereby authorizing, among others, (i) that the Registrant may (but shall not be obligated to) hold an annual general meeting of shareholders in each calendar year, subject to Cayman Islands laws and the rules of the NASDAQ Global Select Market; and (ii) instead of, or in addition to, a holding of a physical meeting, that the Registrant may hold hybrid and/or electronic meetings when hosting annual general meetings or extraordinary general meetings of shareholders.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Second A&amp;R Articles is qualified in its entirety by reference to the Second A&amp;R Memorandum and Articles filed as Exhibit 3.1 hereto, which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Ebang International Holdings Inc.</w:t>
      </w:r>
    </w:p>
    <w:p>
      <w:pPr>
        <w:spacing w:after="0" w:line="225" w:lineRule="exact"/>
        <w:rPr>
          <w:sz w:val="20"/>
          <w:szCs w:val="20"/>
          <w:color w:val="auto"/>
        </w:rPr>
      </w:pPr>
    </w:p>
    <w:p>
      <w:pPr>
        <w:spacing w:after="0"/>
        <w:tabs>
          <w:tab w:leader="none" w:pos="6540" w:val="left"/>
        </w:tabs>
        <w:rPr>
          <w:sz w:val="20"/>
          <w:szCs w:val="20"/>
          <w:color w:val="auto"/>
        </w:rPr>
      </w:pPr>
      <w:r>
        <w:rPr>
          <w:rFonts w:ascii="Arial" w:cs="Arial" w:eastAsia="Arial" w:hAnsi="Arial"/>
          <w:sz w:val="18"/>
          <w:szCs w:val="18"/>
          <w:color w:val="auto"/>
        </w:rPr>
        <w:t>Date: December 21, 2021</w:t>
      </w:r>
      <w:r>
        <w:rPr>
          <w:sz w:val="20"/>
          <w:szCs w:val="20"/>
          <w:color w:val="auto"/>
        </w:rPr>
        <w:tab/>
      </w:r>
      <w:r>
        <w:rPr>
          <w:rFonts w:ascii="Arial" w:cs="Arial" w:eastAsia="Arial" w:hAnsi="Arial"/>
          <w:sz w:val="16"/>
          <w:szCs w:val="16"/>
          <w:color w:val="auto"/>
        </w:rPr>
        <w:t>By: /s/ Dong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Dong Hu</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gridSpan w:val="2"/>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48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4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966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Second Amended and Restated Memorandum of Association and Articles of Association of Ebang International Holdings Inc.</w:t>
              </w:r>
            </w:hyperlink>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THE COMPANIES ACT</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EXEMPTED COMPANY LIMITED BY SHARES</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EBANG INTERNATIONAL HOLDINGS INC.</w:t>
      </w:r>
    </w:p>
    <w:p>
      <w:pPr>
        <w:spacing w:after="0" w:line="246" w:lineRule="exact"/>
        <w:rPr>
          <w:sz w:val="20"/>
          <w:szCs w:val="20"/>
          <w:color w:val="auto"/>
        </w:rPr>
      </w:pPr>
    </w:p>
    <w:p>
      <w:pPr>
        <w:jc w:val="center"/>
        <w:ind w:right="312"/>
        <w:spacing w:after="0" w:line="216" w:lineRule="exact"/>
        <w:rPr>
          <w:sz w:val="20"/>
          <w:szCs w:val="20"/>
          <w:color w:val="auto"/>
        </w:rPr>
      </w:pPr>
      <w:r>
        <w:rPr>
          <w:rFonts w:ascii="PMingLiU" w:cs="PMingLiU" w:eastAsia="PMingLiU" w:hAnsi="PMingLiU"/>
          <w:sz w:val="18"/>
          <w:szCs w:val="18"/>
          <w:color w:val="auto"/>
        </w:rPr>
        <w:t>億邦國際控股公司</w:t>
      </w:r>
    </w:p>
    <w:p>
      <w:pPr>
        <w:spacing w:after="0" w:line="227" w:lineRule="exact"/>
        <w:rPr>
          <w:sz w:val="20"/>
          <w:szCs w:val="20"/>
          <w:color w:val="auto"/>
        </w:rPr>
      </w:pPr>
    </w:p>
    <w:p>
      <w:pPr>
        <w:ind w:left="1748"/>
        <w:spacing w:after="0"/>
        <w:rPr>
          <w:sz w:val="20"/>
          <w:szCs w:val="20"/>
          <w:color w:val="auto"/>
        </w:rPr>
      </w:pPr>
      <w:r>
        <w:rPr>
          <w:rFonts w:ascii="Arial" w:cs="Arial" w:eastAsia="Arial" w:hAnsi="Arial"/>
          <w:sz w:val="18"/>
          <w:szCs w:val="18"/>
          <w:color w:val="auto"/>
        </w:rPr>
        <w:t>(Adopted by way of a special resolution at an annual general meeting held on 15 December, 2021)</w:t>
      </w:r>
    </w:p>
    <w:p>
      <w:pPr>
        <w:spacing w:after="0" w:line="235" w:lineRule="exact"/>
        <w:rPr>
          <w:sz w:val="20"/>
          <w:szCs w:val="20"/>
          <w:color w:val="auto"/>
        </w:rPr>
      </w:pPr>
    </w:p>
    <w:p>
      <w:pPr>
        <w:ind w:left="648" w:hanging="648"/>
        <w:spacing w:after="0" w:line="219" w:lineRule="exact"/>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EBANG INTERNATIONAL HOLDINGS INC.</w:t>
      </w:r>
      <w:r>
        <w:rPr>
          <w:rFonts w:ascii="Arial" w:cs="Arial" w:eastAsia="Arial" w:hAnsi="Arial"/>
          <w:sz w:val="18"/>
          <w:szCs w:val="18"/>
          <w:color w:val="auto"/>
        </w:rPr>
        <w:t xml:space="preserve"> and its dual foreign name is </w:t>
      </w:r>
      <w:r>
        <w:rPr>
          <w:rFonts w:ascii="PMingLiU" w:cs="PMingLiU" w:eastAsia="PMingLiU" w:hAnsi="PMingLiU"/>
          <w:sz w:val="18"/>
          <w:szCs w:val="18"/>
          <w:color w:val="auto"/>
        </w:rPr>
        <w:t>億邦國際控股公司</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648" w:hanging="648"/>
        <w:spacing w:after="0" w:line="277"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Conyers Trust Company (Cayman) Limited, Cricket Square, Hutchins Drive, PO Box 2681, Grand Cayman, KY1-1111, Cayman Islands.</w:t>
      </w:r>
    </w:p>
    <w:p>
      <w:pPr>
        <w:spacing w:after="0" w:line="170" w:lineRule="exact"/>
        <w:rPr>
          <w:rFonts w:ascii="Arial" w:cs="Arial" w:eastAsia="Arial" w:hAnsi="Arial"/>
          <w:sz w:val="18"/>
          <w:szCs w:val="18"/>
          <w:color w:val="auto"/>
        </w:rPr>
      </w:pPr>
    </w:p>
    <w:p>
      <w:pPr>
        <w:ind w:left="648" w:hanging="648"/>
        <w:spacing w:after="0" w:line="277"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the following provisions of this Memorandum, the objects for which the Company is established are unrestricted and shall include, but without limitation:</w:t>
      </w:r>
    </w:p>
    <w:p>
      <w:pPr>
        <w:spacing w:after="0" w:line="170" w:lineRule="exact"/>
        <w:rPr>
          <w:rFonts w:ascii="Arial" w:cs="Arial" w:eastAsia="Arial" w:hAnsi="Arial"/>
          <w:sz w:val="18"/>
          <w:szCs w:val="18"/>
          <w:color w:val="auto"/>
        </w:rPr>
      </w:pPr>
    </w:p>
    <w:p>
      <w:pPr>
        <w:jc w:val="both"/>
        <w:ind w:left="1288" w:hanging="640"/>
        <w:spacing w:after="0" w:line="311" w:lineRule="auto"/>
        <w:tabs>
          <w:tab w:leader="none" w:pos="1288" w:val="left"/>
        </w:tabs>
        <w:numPr>
          <w:ilvl w:val="1"/>
          <w:numId w:val="1"/>
        </w:numPr>
        <w:rPr>
          <w:rFonts w:ascii="Arial" w:cs="Arial" w:eastAsia="Arial" w:hAnsi="Arial"/>
          <w:sz w:val="16"/>
          <w:szCs w:val="16"/>
          <w:color w:val="auto"/>
        </w:rPr>
      </w:pPr>
      <w:r>
        <w:rPr>
          <w:rFonts w:ascii="Arial" w:cs="Arial" w:eastAsia="Arial" w:hAnsi="Arial"/>
          <w:sz w:val="16"/>
          <w:szCs w:val="16"/>
          <w:color w:val="auto"/>
        </w:rPr>
        <w:t>to act and to perform all the functions of a holding company in all its branches and to coordinate the policy and administration of any subsidiary company or companies wherever incorporated or carrying on business or of any group of companies of which the Company or any subsidiary company is a member or which are in any manner controlled directly or indirectly by the Company;</w:t>
      </w:r>
    </w:p>
    <w:p>
      <w:pPr>
        <w:spacing w:after="0" w:line="148" w:lineRule="exact"/>
        <w:rPr>
          <w:rFonts w:ascii="Arial" w:cs="Arial" w:eastAsia="Arial" w:hAnsi="Arial"/>
          <w:sz w:val="16"/>
          <w:szCs w:val="16"/>
          <w:color w:val="auto"/>
        </w:rPr>
      </w:pPr>
    </w:p>
    <w:p>
      <w:pPr>
        <w:jc w:val="both"/>
        <w:ind w:left="1288" w:hanging="640"/>
        <w:spacing w:after="0" w:line="255" w:lineRule="auto"/>
        <w:tabs>
          <w:tab w:leader="none" w:pos="1288"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act as an investment company and for that purpose to subscribe, acquire, hold, dispose, sell, deal in or trade upon any terms, whether conditionally or absolutely, shares, stock, debentures, debenture stock, annuities, notes, mortgages, bonds, obligations and securities, foreign exchange, foreign currency deposits and commodities, issued or guaranteed by any company wherever incorporated, or by any government, sovereign, ruler, commissioners, public body or authority, supreme, municipal, local or otherwise, by original subscription, tender, purchase, exchange, underwriting, participation in syndicates or in any other manner and whether or not fully paid up, and to meet calls thereon.</w:t>
      </w:r>
    </w:p>
    <w:p>
      <w:pPr>
        <w:spacing w:after="0" w:line="192" w:lineRule="exact"/>
        <w:rPr>
          <w:rFonts w:ascii="Arial" w:cs="Arial" w:eastAsia="Arial" w:hAnsi="Arial"/>
          <w:sz w:val="18"/>
          <w:szCs w:val="18"/>
          <w:color w:val="auto"/>
        </w:rPr>
      </w:pPr>
    </w:p>
    <w:p>
      <w:pPr>
        <w:ind w:left="648" w:hanging="648"/>
        <w:spacing w:after="0" w:line="342" w:lineRule="auto"/>
        <w:tabs>
          <w:tab w:leader="none" w:pos="648" w:val="left"/>
        </w:tabs>
        <w:numPr>
          <w:ilvl w:val="0"/>
          <w:numId w:val="1"/>
        </w:numPr>
        <w:rPr>
          <w:rFonts w:ascii="Arial" w:cs="Arial" w:eastAsia="Arial" w:hAnsi="Arial"/>
          <w:sz w:val="16"/>
          <w:szCs w:val="16"/>
          <w:color w:val="auto"/>
        </w:rPr>
      </w:pPr>
      <w:r>
        <w:rPr>
          <w:rFonts w:ascii="Arial" w:cs="Arial" w:eastAsia="Arial" w:hAnsi="Arial"/>
          <w:sz w:val="16"/>
          <w:szCs w:val="16"/>
          <w:color w:val="auto"/>
        </w:rPr>
        <w:t>Subject to the following provisions of this Memorandum, the Company shall have and be capable of exercising all the functions of a natural person of full capacity irrespective of any question of corporate benefit, as provided by Section 27(2) of the Companies Act (As Revised).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6189345</wp:posOffset>
            </wp:positionH>
            <wp:positionV relativeFrom="paragraph">
              <wp:posOffset>224790</wp:posOffset>
            </wp:positionV>
            <wp:extent cx="737235" cy="857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18"/>
          <w:szCs w:val="18"/>
          <w:i w:val="1"/>
          <w:iCs w:val="1"/>
          <w:color w:val="auto"/>
        </w:rPr>
        <w:t>www.verify.gov.ky File#: 337027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4" w:name="page5"/>
    <w:bookmarkEnd w:id="4"/>
    <w:p>
      <w:pPr>
        <w:ind w:left="648" w:hanging="648"/>
        <w:spacing w:after="0" w:line="277"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Nothing in this Memorandum shall permit the Company to carry on a business for which a licence is required under the laws of the Cayman Islands unless duly licensed.</w:t>
      </w:r>
    </w:p>
    <w:p>
      <w:pPr>
        <w:spacing w:after="0" w:line="170" w:lineRule="exact"/>
        <w:rPr>
          <w:rFonts w:ascii="Arial" w:cs="Arial" w:eastAsia="Arial" w:hAnsi="Arial"/>
          <w:sz w:val="18"/>
          <w:szCs w:val="18"/>
          <w:color w:val="auto"/>
        </w:rPr>
      </w:pPr>
    </w:p>
    <w:p>
      <w:pPr>
        <w:jc w:val="both"/>
        <w:ind w:left="648" w:hanging="648"/>
        <w:spacing w:after="0" w:line="259"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186" w:lineRule="exact"/>
        <w:rPr>
          <w:rFonts w:ascii="Arial" w:cs="Arial" w:eastAsia="Arial" w:hAnsi="Arial"/>
          <w:sz w:val="18"/>
          <w:szCs w:val="18"/>
          <w:color w:val="auto"/>
        </w:rPr>
      </w:pPr>
    </w:p>
    <w:p>
      <w:pPr>
        <w:ind w:left="648" w:hanging="648"/>
        <w:spacing w:after="0"/>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225" w:lineRule="exact"/>
        <w:rPr>
          <w:rFonts w:ascii="Arial" w:cs="Arial" w:eastAsia="Arial" w:hAnsi="Arial"/>
          <w:sz w:val="18"/>
          <w:szCs w:val="18"/>
          <w:color w:val="auto"/>
        </w:rPr>
      </w:pPr>
    </w:p>
    <w:p>
      <w:pPr>
        <w:jc w:val="both"/>
        <w:ind w:left="648" w:hanging="648"/>
        <w:spacing w:after="0" w:line="272" w:lineRule="auto"/>
        <w:tabs>
          <w:tab w:leader="none" w:pos="648"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share capital of the Company is HK$380,000.00 divided into 380,000,000 Ordinary Shares consisting of (a) 333,374,217 Class A Ordinary Shares of a par value of HK$0.001 each and (b) 46,625,783 Class B Ordinary Shares of par value HK$0.001 each, with the power for the Company, insofar as is permitted by law, to redeem or purchase any of its shares and to increase or reduce the said share capital subject to the provisions of the Companies Act (As Revised) and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w:t>
      </w:r>
    </w:p>
    <w:p>
      <w:pPr>
        <w:spacing w:after="0" w:line="177" w:lineRule="exact"/>
        <w:rPr>
          <w:rFonts w:ascii="Arial" w:cs="Arial" w:eastAsia="Arial" w:hAnsi="Arial"/>
          <w:sz w:val="17"/>
          <w:szCs w:val="17"/>
          <w:color w:val="auto"/>
        </w:rPr>
      </w:pPr>
    </w:p>
    <w:p>
      <w:pPr>
        <w:ind w:left="648" w:hanging="648"/>
        <w:spacing w:after="0" w:line="277"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exercise the power contained in the Companies Act (As Revised) to deregister in the Cayman Islands and be registered by way of continuation in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6189345</wp:posOffset>
            </wp:positionH>
            <wp:positionV relativeFrom="paragraph">
              <wp:posOffset>254635</wp:posOffset>
            </wp:positionV>
            <wp:extent cx="737235" cy="857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2"/>
        <w:spacing w:after="0"/>
        <w:rPr>
          <w:sz w:val="20"/>
          <w:szCs w:val="20"/>
          <w:color w:val="auto"/>
        </w:rPr>
      </w:pPr>
      <w:r>
        <w:rPr>
          <w:rFonts w:ascii="Arial" w:cs="Arial" w:eastAsia="Arial" w:hAnsi="Arial"/>
          <w:sz w:val="18"/>
          <w:szCs w:val="18"/>
          <w:i w:val="1"/>
          <w:iCs w:val="1"/>
          <w:color w:val="auto"/>
        </w:rPr>
        <w:t>www.verify.gov.ky File#: 337027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The Companies Act (As Revised)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Exempted Company Limited by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EBANG INTERNATIONAL HOLDINGS INC.</w:t>
      </w:r>
    </w:p>
    <w:p>
      <w:pPr>
        <w:spacing w:after="0" w:line="30" w:lineRule="exact"/>
        <w:rPr>
          <w:sz w:val="20"/>
          <w:szCs w:val="20"/>
          <w:color w:val="auto"/>
        </w:rPr>
      </w:pPr>
    </w:p>
    <w:p>
      <w:pPr>
        <w:jc w:val="center"/>
        <w:spacing w:after="0" w:line="216" w:lineRule="exact"/>
        <w:rPr>
          <w:sz w:val="20"/>
          <w:szCs w:val="20"/>
          <w:color w:val="auto"/>
        </w:rPr>
      </w:pPr>
      <w:r>
        <w:rPr>
          <w:rFonts w:ascii="PMingLiU" w:cs="PMingLiU" w:eastAsia="PMingLiU" w:hAnsi="PMingLiU"/>
          <w:sz w:val="18"/>
          <w:szCs w:val="18"/>
          <w:color w:val="auto"/>
        </w:rPr>
        <w:t>億邦國際控股公司</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(Adopted by way of a special resolution at the annual general meeting held on 15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303530</wp:posOffset>
            </wp:positionV>
            <wp:extent cx="737235" cy="857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www.verify.gov.ky File#: 337027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6540" w:type="dxa"/>
            <w:vAlign w:val="bottom"/>
            <w:gridSpan w:val="5"/>
          </w:tcPr>
          <w:p>
            <w:pPr>
              <w:ind w:left="560"/>
              <w:spacing w:after="0"/>
              <w:rPr>
                <w:sz w:val="20"/>
                <w:szCs w:val="20"/>
                <w:color w:val="auto"/>
              </w:rPr>
            </w:pPr>
            <w:r>
              <w:rPr>
                <w:rFonts w:ascii="Arial" w:cs="Arial" w:eastAsia="Arial" w:hAnsi="Arial"/>
                <w:sz w:val="18"/>
                <w:szCs w:val="18"/>
                <w:color w:val="auto"/>
              </w:rPr>
              <w:t>I N D E X</w:t>
            </w:r>
          </w:p>
        </w:tc>
      </w:tr>
      <w:tr>
        <w:trPr>
          <w:trHeight w:val="45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SUBJECT</w:t>
            </w:r>
          </w:p>
        </w:tc>
        <w:tc>
          <w:tcPr>
            <w:tcW w:w="56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Article No.</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Table A</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Interpretation</w:t>
            </w:r>
          </w:p>
        </w:tc>
        <w:tc>
          <w:tcPr>
            <w:tcW w:w="6540" w:type="dxa"/>
            <w:vAlign w:val="bottom"/>
            <w:gridSpan w:val="5"/>
          </w:tcPr>
          <w:p>
            <w:pPr>
              <w:jc w:val="center"/>
              <w:ind w:left="5450"/>
              <w:spacing w:after="0"/>
              <w:rPr>
                <w:sz w:val="20"/>
                <w:szCs w:val="20"/>
                <w:color w:val="auto"/>
              </w:rPr>
            </w:pPr>
            <w:r>
              <w:rPr>
                <w:rFonts w:ascii="Arial" w:cs="Arial" w:eastAsia="Arial" w:hAnsi="Arial"/>
                <w:sz w:val="18"/>
                <w:szCs w:val="18"/>
                <w:color w:val="auto"/>
                <w:w w:val="79"/>
              </w:rPr>
              <w:t>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540" w:type="dxa"/>
            <w:vAlign w:val="bottom"/>
            <w:gridSpan w:val="5"/>
            <w:shd w:val="clear" w:color="auto" w:fill="CCEEFF"/>
          </w:tcPr>
          <w:p>
            <w:pPr>
              <w:jc w:val="center"/>
              <w:ind w:left="5450"/>
              <w:spacing w:after="0"/>
              <w:rPr>
                <w:sz w:val="20"/>
                <w:szCs w:val="20"/>
                <w:color w:val="auto"/>
              </w:rPr>
            </w:pPr>
            <w:r>
              <w:rPr>
                <w:rFonts w:ascii="Arial" w:cs="Arial" w:eastAsia="Arial" w:hAnsi="Arial"/>
                <w:sz w:val="18"/>
                <w:szCs w:val="18"/>
                <w:color w:val="auto"/>
                <w:w w:val="79"/>
              </w:rPr>
              <w:t>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Alteration of Capital</w:t>
            </w:r>
          </w:p>
        </w:tc>
        <w:tc>
          <w:tcPr>
            <w:tcW w:w="6540" w:type="dxa"/>
            <w:vAlign w:val="bottom"/>
            <w:gridSpan w:val="5"/>
          </w:tcPr>
          <w:p>
            <w:pPr>
              <w:jc w:val="center"/>
              <w:ind w:left="5450"/>
              <w:spacing w:after="0"/>
              <w:rPr>
                <w:sz w:val="20"/>
                <w:szCs w:val="20"/>
                <w:color w:val="auto"/>
              </w:rPr>
            </w:pPr>
            <w:r>
              <w:rPr>
                <w:rFonts w:ascii="Arial" w:cs="Arial" w:eastAsia="Arial" w:hAnsi="Arial"/>
                <w:sz w:val="18"/>
                <w:szCs w:val="18"/>
                <w:color w:val="auto"/>
                <w:w w:val="92"/>
              </w:rPr>
              <w:t>7-8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 Rights</w:t>
            </w:r>
          </w:p>
        </w:tc>
        <w:tc>
          <w:tcPr>
            <w:tcW w:w="6540" w:type="dxa"/>
            <w:vAlign w:val="bottom"/>
            <w:gridSpan w:val="5"/>
            <w:shd w:val="clear" w:color="auto" w:fill="CCEEFF"/>
          </w:tcPr>
          <w:p>
            <w:pPr>
              <w:jc w:val="center"/>
              <w:ind w:left="5450"/>
              <w:spacing w:after="0"/>
              <w:rPr>
                <w:sz w:val="20"/>
                <w:szCs w:val="20"/>
                <w:color w:val="auto"/>
              </w:rPr>
            </w:pPr>
            <w:r>
              <w:rPr>
                <w:rFonts w:ascii="Arial" w:cs="Arial" w:eastAsia="Arial" w:hAnsi="Arial"/>
                <w:sz w:val="18"/>
                <w:szCs w:val="18"/>
                <w:color w:val="auto"/>
                <w:w w:val="88"/>
              </w:rPr>
              <w:t>8-10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Variation of Rights</w:t>
            </w:r>
          </w:p>
        </w:tc>
        <w:tc>
          <w:tcPr>
            <w:tcW w:w="6540" w:type="dxa"/>
            <w:vAlign w:val="bottom"/>
            <w:gridSpan w:val="5"/>
          </w:tcPr>
          <w:p>
            <w:pPr>
              <w:jc w:val="center"/>
              <w:ind w:left="5450"/>
              <w:spacing w:after="0"/>
              <w:rPr>
                <w:sz w:val="20"/>
                <w:szCs w:val="20"/>
                <w:color w:val="auto"/>
              </w:rPr>
            </w:pPr>
            <w:r>
              <w:rPr>
                <w:rFonts w:ascii="Arial" w:cs="Arial" w:eastAsia="Arial" w:hAnsi="Arial"/>
                <w:sz w:val="18"/>
                <w:szCs w:val="18"/>
                <w:color w:val="auto"/>
                <w:w w:val="79"/>
              </w:rPr>
              <w:t>11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540" w:type="dxa"/>
            <w:vAlign w:val="bottom"/>
            <w:gridSpan w:val="5"/>
            <w:shd w:val="clear" w:color="auto" w:fill="CCEEFF"/>
          </w:tcPr>
          <w:p>
            <w:pPr>
              <w:jc w:val="center"/>
              <w:ind w:left="5450"/>
              <w:spacing w:after="0"/>
              <w:rPr>
                <w:sz w:val="20"/>
                <w:szCs w:val="20"/>
                <w:color w:val="auto"/>
              </w:rPr>
            </w:pPr>
            <w:r>
              <w:rPr>
                <w:rFonts w:ascii="Arial" w:cs="Arial" w:eastAsia="Arial" w:hAnsi="Arial"/>
                <w:sz w:val="18"/>
                <w:szCs w:val="18"/>
                <w:color w:val="auto"/>
                <w:w w:val="86"/>
              </w:rPr>
              <w:t>11-12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 Certificates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12-13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Lien</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14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Calls on Shares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14-15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Shares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16-17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Register of Members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17-18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Record Dates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18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Transfer of Shares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18-20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Transmission of Shares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20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Untraceable Members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20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Meetings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21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21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Proceedings at General Meetings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21-24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Voting</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24-25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Proxies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25-26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Corporations Acting By Representatives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26-27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 action by Written Resolutions of Members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27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Board of Directors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27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Disqualification of Directors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27-28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Executive Directors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28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28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Directors’ Interests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28-29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Powers of the Directors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30-31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Borrowing Powers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31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Proceedings of the Directors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31-32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Audit Committee</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32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Officers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32-33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Register of Directors and Officers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33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Minutes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33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Seal</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33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Authentication of Documents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33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Destruction of Documents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34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and Other Payments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35-39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Reserves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39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Capitalisation</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40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Subscription Rights Reserve</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91"/>
              </w:rPr>
              <w:t>40-42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Accounting Records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43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Audit</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44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Notices</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91"/>
              </w:rPr>
              <w:t>45-47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Signatures</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47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Winding Up</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48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Indemnity</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49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Amendment to Memorandum and Articles of Association</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49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and Name of Company</w:t>
            </w:r>
          </w:p>
        </w:tc>
        <w:tc>
          <w:tcPr>
            <w:tcW w:w="6540" w:type="dxa"/>
            <w:vAlign w:val="bottom"/>
            <w:gridSpan w:val="5"/>
          </w:tcPr>
          <w:p>
            <w:pPr>
              <w:jc w:val="center"/>
              <w:ind w:left="5470"/>
              <w:spacing w:after="0"/>
              <w:rPr>
                <w:sz w:val="20"/>
                <w:szCs w:val="20"/>
                <w:color w:val="auto"/>
              </w:rPr>
            </w:pPr>
            <w:r>
              <w:rPr>
                <w:rFonts w:ascii="Arial" w:cs="Arial" w:eastAsia="Arial" w:hAnsi="Arial"/>
                <w:sz w:val="18"/>
                <w:szCs w:val="18"/>
                <w:color w:val="auto"/>
                <w:w w:val="89"/>
              </w:rPr>
              <w:t>49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Information</w:t>
            </w:r>
          </w:p>
        </w:tc>
        <w:tc>
          <w:tcPr>
            <w:tcW w:w="6540" w:type="dxa"/>
            <w:vAlign w:val="bottom"/>
            <w:gridSpan w:val="5"/>
            <w:shd w:val="clear" w:color="auto" w:fill="CCEEFF"/>
          </w:tcPr>
          <w:p>
            <w:pPr>
              <w:jc w:val="center"/>
              <w:ind w:left="5470"/>
              <w:spacing w:after="0"/>
              <w:rPr>
                <w:sz w:val="20"/>
                <w:szCs w:val="20"/>
                <w:color w:val="auto"/>
              </w:rPr>
            </w:pPr>
            <w:r>
              <w:rPr>
                <w:rFonts w:ascii="Arial" w:cs="Arial" w:eastAsia="Arial" w:hAnsi="Arial"/>
                <w:sz w:val="18"/>
                <w:szCs w:val="18"/>
                <w:color w:val="auto"/>
                <w:w w:val="89"/>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274320</wp:posOffset>
            </wp:positionV>
            <wp:extent cx="737235" cy="857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www.verify.gov.ky File#: 337027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u w:val="single" w:color="auto"/>
          <w:color w:val="auto"/>
        </w:rPr>
        <w:t>TABLE A</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regulations in Table A in the Schedule to the Companies Act (As Revised) do not apply to the Company.</w:t>
      </w:r>
    </w:p>
    <w:p>
      <w:pPr>
        <w:spacing w:after="0" w:line="225"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rFonts w:ascii="Arial" w:cs="Arial" w:eastAsia="Arial" w:hAnsi="Arial"/>
          <w:sz w:val="18"/>
          <w:szCs w:val="18"/>
          <w:color w:val="auto"/>
        </w:rPr>
      </w:pPr>
    </w:p>
    <w:p>
      <w:pPr>
        <w:ind w:right="20" w:firstLine="8"/>
        <w:spacing w:after="0" w:line="277" w:lineRule="auto"/>
        <w:tabs>
          <w:tab w:leader="none" w:pos="201" w:val="left"/>
        </w:tabs>
        <w:numPr>
          <w:ilvl w:val="0"/>
          <w:numId w:val="3"/>
        </w:numPr>
        <w:rPr>
          <w:rFonts w:ascii="Arial" w:cs="Arial" w:eastAsia="Arial" w:hAnsi="Arial"/>
          <w:sz w:val="18"/>
          <w:szCs w:val="18"/>
          <w:color w:val="auto"/>
        </w:rPr>
      </w:pPr>
      <w:r>
        <w:rPr>
          <w:rFonts w:ascii="Arial" w:cs="Arial" w:eastAsia="Arial" w:hAnsi="Arial"/>
          <w:sz w:val="18"/>
          <w:szCs w:val="18"/>
          <w:color w:val="auto"/>
        </w:rPr>
        <w:t>(1) In these Articles, unless the context otherwise requires, the words standing in the first column of the following table shall bear the meaning set opposite them respectively in the second column.</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Arial" w:cs="Arial" w:eastAsia="Arial" w:hAnsi="Arial"/>
                <w:sz w:val="18"/>
                <w:szCs w:val="18"/>
                <w:color w:val="auto"/>
              </w:rPr>
              <w:t>WORD</w:t>
            </w:r>
          </w:p>
        </w:tc>
        <w:tc>
          <w:tcPr>
            <w:tcW w:w="7340" w:type="dxa"/>
            <w:vAlign w:val="bottom"/>
            <w:gridSpan w:val="2"/>
          </w:tcPr>
          <w:p>
            <w:pPr>
              <w:spacing w:after="0"/>
              <w:rPr>
                <w:sz w:val="20"/>
                <w:szCs w:val="20"/>
                <w:color w:val="auto"/>
              </w:rPr>
            </w:pPr>
            <w:r>
              <w:rPr>
                <w:rFonts w:ascii="Arial" w:cs="Arial" w:eastAsia="Arial" w:hAnsi="Arial"/>
                <w:sz w:val="18"/>
                <w:szCs w:val="18"/>
                <w:color w:val="auto"/>
              </w:rPr>
              <w:t>MEANING</w:t>
            </w:r>
          </w:p>
        </w:tc>
      </w:tr>
      <w:tr>
        <w:trPr>
          <w:trHeight w:val="20"/>
        </w:trPr>
        <w:tc>
          <w:tcPr>
            <w:tcW w:w="5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“Act”</w:t>
            </w:r>
          </w:p>
        </w:tc>
        <w:tc>
          <w:tcPr>
            <w:tcW w:w="270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w w:val="95"/>
              </w:rPr>
              <w:t>the Companies Act, Cap. 22 (Act 3 of 1961, as consolidated and revised) of the Cayman Islands.</w:t>
            </w: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rPr>
              <w:t>“Affiliates”</w:t>
            </w:r>
          </w:p>
        </w:tc>
        <w:tc>
          <w:tcPr>
            <w:tcW w:w="7340" w:type="dxa"/>
            <w:vAlign w:val="bottom"/>
            <w:gridSpan w:val="2"/>
          </w:tcPr>
          <w:p>
            <w:pPr>
              <w:spacing w:after="0"/>
              <w:rPr>
                <w:sz w:val="20"/>
                <w:szCs w:val="20"/>
                <w:color w:val="auto"/>
              </w:rPr>
            </w:pPr>
            <w:r>
              <w:rPr>
                <w:rFonts w:ascii="Arial" w:cs="Arial" w:eastAsia="Arial" w:hAnsi="Arial"/>
                <w:sz w:val="18"/>
                <w:szCs w:val="18"/>
                <w:color w:val="auto"/>
              </w:rPr>
              <w:t>as defined in Rule 501(b) of Regulation D under the Securities Act.</w:t>
            </w: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rPr>
              <w:t>“Articles”</w:t>
            </w:r>
          </w:p>
        </w:tc>
        <w:tc>
          <w:tcPr>
            <w:tcW w:w="7340" w:type="dxa"/>
            <w:vAlign w:val="bottom"/>
            <w:gridSpan w:val="2"/>
          </w:tcPr>
          <w:p>
            <w:pPr>
              <w:spacing w:after="0"/>
              <w:rPr>
                <w:sz w:val="20"/>
                <w:szCs w:val="20"/>
                <w:color w:val="auto"/>
              </w:rPr>
            </w:pPr>
            <w:r>
              <w:rPr>
                <w:rFonts w:ascii="Arial" w:cs="Arial" w:eastAsia="Arial" w:hAnsi="Arial"/>
                <w:sz w:val="18"/>
                <w:szCs w:val="18"/>
                <w:color w:val="auto"/>
                <w:w w:val="92"/>
              </w:rPr>
              <w:t>these Articles in their present form or as supplemented or amended or substituted from time to time.</w:t>
            </w:r>
          </w:p>
        </w:tc>
      </w:tr>
      <w:tr>
        <w:trPr>
          <w:trHeight w:val="418"/>
        </w:trPr>
        <w:tc>
          <w:tcPr>
            <w:tcW w:w="3240" w:type="dxa"/>
            <w:vAlign w:val="bottom"/>
            <w:gridSpan w:val="2"/>
          </w:tcPr>
          <w:p>
            <w:pPr>
              <w:spacing w:after="0"/>
              <w:rPr>
                <w:sz w:val="20"/>
                <w:szCs w:val="20"/>
                <w:color w:val="auto"/>
              </w:rPr>
            </w:pPr>
            <w:r>
              <w:rPr>
                <w:rFonts w:ascii="Arial" w:cs="Arial" w:eastAsia="Arial" w:hAnsi="Arial"/>
                <w:sz w:val="18"/>
                <w:szCs w:val="18"/>
                <w:color w:val="auto"/>
              </w:rPr>
              <w:t>“Audit Committee”</w:t>
            </w:r>
          </w:p>
        </w:tc>
        <w:tc>
          <w:tcPr>
            <w:tcW w:w="7340" w:type="dxa"/>
            <w:vAlign w:val="bottom"/>
            <w:gridSpan w:val="2"/>
          </w:tcPr>
          <w:p>
            <w:pPr>
              <w:spacing w:after="0"/>
              <w:rPr>
                <w:sz w:val="20"/>
                <w:szCs w:val="20"/>
                <w:color w:val="auto"/>
              </w:rPr>
            </w:pPr>
            <w:r>
              <w:rPr>
                <w:rFonts w:ascii="Arial" w:cs="Arial" w:eastAsia="Arial" w:hAnsi="Arial"/>
                <w:sz w:val="18"/>
                <w:szCs w:val="18"/>
                <w:color w:val="auto"/>
                <w:w w:val="96"/>
              </w:rPr>
              <w:t>the audit committee of the Company formed by the Board pursuant to Article 120 hereof, or any</w:t>
            </w:r>
          </w:p>
        </w:tc>
      </w:tr>
      <w:tr>
        <w:trPr>
          <w:trHeight w:val="230"/>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successor audit committee.</w:t>
            </w:r>
          </w:p>
        </w:tc>
      </w:tr>
      <w:tr>
        <w:trPr>
          <w:trHeight w:val="418"/>
        </w:trPr>
        <w:tc>
          <w:tcPr>
            <w:tcW w:w="3240" w:type="dxa"/>
            <w:vAlign w:val="bottom"/>
            <w:gridSpan w:val="2"/>
          </w:tcPr>
          <w:p>
            <w:pPr>
              <w:spacing w:after="0"/>
              <w:rPr>
                <w:sz w:val="20"/>
                <w:szCs w:val="20"/>
                <w:color w:val="auto"/>
              </w:rPr>
            </w:pPr>
            <w:r>
              <w:rPr>
                <w:rFonts w:ascii="Arial" w:cs="Arial" w:eastAsia="Arial" w:hAnsi="Arial"/>
                <w:sz w:val="18"/>
                <w:szCs w:val="18"/>
                <w:color w:val="auto"/>
              </w:rPr>
              <w:t>“Auditor”</w:t>
            </w:r>
          </w:p>
        </w:tc>
        <w:tc>
          <w:tcPr>
            <w:tcW w:w="7340" w:type="dxa"/>
            <w:vAlign w:val="bottom"/>
            <w:gridSpan w:val="2"/>
          </w:tcPr>
          <w:p>
            <w:pPr>
              <w:spacing w:after="0"/>
              <w:rPr>
                <w:sz w:val="20"/>
                <w:szCs w:val="20"/>
                <w:color w:val="auto"/>
              </w:rPr>
            </w:pPr>
            <w:r>
              <w:rPr>
                <w:rFonts w:ascii="Arial" w:cs="Arial" w:eastAsia="Arial" w:hAnsi="Arial"/>
                <w:sz w:val="18"/>
                <w:szCs w:val="18"/>
                <w:color w:val="auto"/>
              </w:rPr>
              <w:t>the independent auditor of the Company which shall be an internationally recognized firm of</w:t>
            </w:r>
          </w:p>
        </w:tc>
      </w:tr>
      <w:tr>
        <w:trPr>
          <w:trHeight w:val="230"/>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independent accountants.</w:t>
            </w:r>
          </w:p>
        </w:tc>
      </w:tr>
      <w:tr>
        <w:trPr>
          <w:trHeight w:val="418"/>
        </w:trPr>
        <w:tc>
          <w:tcPr>
            <w:tcW w:w="3240" w:type="dxa"/>
            <w:vAlign w:val="bottom"/>
            <w:gridSpan w:val="2"/>
          </w:tcPr>
          <w:p>
            <w:pPr>
              <w:spacing w:after="0"/>
              <w:rPr>
                <w:sz w:val="20"/>
                <w:szCs w:val="20"/>
                <w:color w:val="auto"/>
              </w:rPr>
            </w:pPr>
            <w:r>
              <w:rPr>
                <w:rFonts w:ascii="Arial" w:cs="Arial" w:eastAsia="Arial" w:hAnsi="Arial"/>
                <w:sz w:val="18"/>
                <w:szCs w:val="18"/>
                <w:color w:val="auto"/>
              </w:rPr>
              <w:t>“Board” or “Directors”</w:t>
            </w:r>
          </w:p>
        </w:tc>
        <w:tc>
          <w:tcPr>
            <w:tcW w:w="7340" w:type="dxa"/>
            <w:vAlign w:val="bottom"/>
            <w:gridSpan w:val="2"/>
          </w:tcPr>
          <w:p>
            <w:pPr>
              <w:spacing w:after="0"/>
              <w:rPr>
                <w:sz w:val="20"/>
                <w:szCs w:val="20"/>
                <w:color w:val="auto"/>
              </w:rPr>
            </w:pPr>
            <w:r>
              <w:rPr>
                <w:rFonts w:ascii="Arial" w:cs="Arial" w:eastAsia="Arial" w:hAnsi="Arial"/>
                <w:sz w:val="18"/>
                <w:szCs w:val="18"/>
                <w:color w:val="auto"/>
                <w:w w:val="98"/>
              </w:rPr>
              <w:t>the board of directors of the Company or the directors present at a meeting of directors of the</w:t>
            </w:r>
          </w:p>
        </w:tc>
      </w:tr>
      <w:tr>
        <w:trPr>
          <w:trHeight w:val="230"/>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Company at which a quorum is present.</w:t>
            </w: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rPr>
              <w:t>“capital”</w:t>
            </w:r>
          </w:p>
        </w:tc>
        <w:tc>
          <w:tcPr>
            <w:tcW w:w="7340" w:type="dxa"/>
            <w:vAlign w:val="bottom"/>
            <w:gridSpan w:val="2"/>
          </w:tcPr>
          <w:p>
            <w:pPr>
              <w:spacing w:after="0"/>
              <w:rPr>
                <w:sz w:val="20"/>
                <w:szCs w:val="20"/>
                <w:color w:val="auto"/>
              </w:rPr>
            </w:pPr>
            <w:r>
              <w:rPr>
                <w:rFonts w:ascii="Arial" w:cs="Arial" w:eastAsia="Arial" w:hAnsi="Arial"/>
                <w:sz w:val="18"/>
                <w:szCs w:val="18"/>
                <w:color w:val="auto"/>
              </w:rPr>
              <w:t>the share capital from time to time of the Company.</w:t>
            </w:r>
          </w:p>
        </w:tc>
      </w:tr>
      <w:tr>
        <w:trPr>
          <w:trHeight w:val="418"/>
        </w:trPr>
        <w:tc>
          <w:tcPr>
            <w:tcW w:w="3240" w:type="dxa"/>
            <w:vAlign w:val="bottom"/>
            <w:gridSpan w:val="2"/>
          </w:tcPr>
          <w:p>
            <w:pPr>
              <w:spacing w:after="0"/>
              <w:rPr>
                <w:sz w:val="20"/>
                <w:szCs w:val="20"/>
                <w:color w:val="auto"/>
              </w:rPr>
            </w:pPr>
            <w:r>
              <w:rPr>
                <w:rFonts w:ascii="Arial" w:cs="Arial" w:eastAsia="Arial" w:hAnsi="Arial"/>
                <w:sz w:val="18"/>
                <w:szCs w:val="18"/>
                <w:color w:val="auto"/>
              </w:rPr>
              <w:t>“Class A Ordinary Share”</w:t>
            </w:r>
          </w:p>
        </w:tc>
        <w:tc>
          <w:tcPr>
            <w:tcW w:w="7340" w:type="dxa"/>
            <w:vAlign w:val="bottom"/>
            <w:gridSpan w:val="2"/>
          </w:tcPr>
          <w:p>
            <w:pPr>
              <w:spacing w:after="0"/>
              <w:rPr>
                <w:sz w:val="20"/>
                <w:szCs w:val="20"/>
                <w:color w:val="auto"/>
              </w:rPr>
            </w:pPr>
            <w:r>
              <w:rPr>
                <w:rFonts w:ascii="Arial" w:cs="Arial" w:eastAsia="Arial" w:hAnsi="Arial"/>
                <w:sz w:val="18"/>
                <w:szCs w:val="18"/>
                <w:color w:val="auto"/>
                <w:w w:val="91"/>
              </w:rPr>
              <w:t>a class A ordinary share of par value HK$0.001 in the share capital of the Company having the rights</w:t>
            </w:r>
          </w:p>
        </w:tc>
      </w:tr>
      <w:tr>
        <w:trPr>
          <w:trHeight w:val="230"/>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set out in these Articles.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291465</wp:posOffset>
            </wp:positionV>
            <wp:extent cx="737235" cy="857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“Class B Ordinary Share”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“clear days”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“clearing house”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“competent regulatory authority”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500" w:lineRule="auto"/>
        <w:rPr>
          <w:sz w:val="20"/>
          <w:szCs w:val="20"/>
          <w:color w:val="auto"/>
        </w:rPr>
      </w:pPr>
      <w:r>
        <w:rPr>
          <w:rFonts w:ascii="Arial" w:cs="Arial" w:eastAsia="Arial" w:hAnsi="Arial"/>
          <w:sz w:val="18"/>
          <w:szCs w:val="18"/>
          <w:color w:val="auto"/>
        </w:rPr>
        <w:t>“debenture” and “debenture holder” “Designated Stock Exchange” “Designated Entity” “HK$”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“electronic communication”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“electronic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a class B ordinary share of par value HK$0.001 each in the share capital of the Company having the rights set out in these Articles.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relation to the period of a notice, that period excluding the day when the notice is given or deemed to be given and the day for which it is given or on which it is to take effect.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clearing house recognised by the laws of the jurisdiction in which the shares of the Company (or depositary receipts therefor) are listed or quoted on a stock exchange or interdealer quotation system in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Ebang International Holdings Inc.</w:t>
      </w:r>
    </w:p>
    <w:p>
      <w:pPr>
        <w:spacing w:after="0" w:line="2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億邦國際控股公司</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competent regulatory authority in the territory where the shares of the Company (or depositary receipts therefor) are listed or quoted on a stock exchange or interdealer quotation system in such territory.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include debenture stock and debenture stockholder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NASDAQ Stock Exchange/New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 Max Limited, a company wholly-owned by the Founder.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legal currency of Hong Kong Special Administrative Region of the People’s Republic of China.</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communication sent, transmitted, conveyed and received by wire, by radio, by optical means or by other electromagnetic means in any form through any medium.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general meeting held and conducted wholly and exclusively by virtual attendance and participation by Members and/or proxies by means of electronic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306070</wp:posOffset>
            </wp:positionV>
            <wp:extent cx="737235" cy="857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80" w:space="660"/>
            <w:col w:w="7340"/>
          </w:cols>
          <w:pgMar w:left="980" w:top="93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“Founder”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Mr. Dong Hu.</w:t>
      </w:r>
    </w:p>
    <w:p>
      <w:pPr>
        <w:spacing w:after="0" w:line="211" w:lineRule="exact"/>
        <w:rPr>
          <w:sz w:val="20"/>
          <w:szCs w:val="20"/>
          <w:color w:val="auto"/>
        </w:rPr>
      </w:pPr>
    </w:p>
    <w:p>
      <w:pPr>
        <w:sectPr>
          <w:pgSz w:w="11900" w:h="16838" w:orient="portrait"/>
          <w:cols w:equalWidth="0" w:num="2">
            <w:col w:w="2520" w:space="720"/>
            <w:col w:w="7340"/>
          </w:cols>
          <w:pgMar w:left="980" w:top="935" w:right="3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“head office”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office of the Company as the Directors may from time to time determine to be the principal office of the Company.</w:t>
      </w:r>
    </w:p>
    <w:p>
      <w:pPr>
        <w:spacing w:after="0" w:line="170"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7"/>
          <w:szCs w:val="17"/>
          <w:color w:val="auto"/>
        </w:rPr>
        <w:t>“hybrid meeting”</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a general meeting convened for the (i) physical attendance by Members and/or proxies at the Principal Meeting Place and where applicable, one or more Meeting Locations and (ii) virtual attendance and participation by Members and/or proxies by means of electronic facilities.</w:t>
      </w:r>
    </w:p>
    <w:p>
      <w:pPr>
        <w:spacing w:after="0" w:line="165"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7"/>
          <w:szCs w:val="17"/>
          <w:color w:val="auto"/>
        </w:rPr>
        <w:t>“Meeting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Article 65A.</w:t>
      </w:r>
    </w:p>
    <w:p>
      <w:pPr>
        <w:spacing w:after="0" w:line="211"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“Member”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 duly registered holder from time to time of the shares in the capital of the Company.</w:t>
      </w:r>
    </w:p>
    <w:p>
      <w:pPr>
        <w:spacing w:after="0" w:line="211"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“Memorandum of Association”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memorandum of association of the Company, as amended from time to time.</w:t>
      </w:r>
    </w:p>
    <w:p>
      <w:pPr>
        <w:spacing w:after="0" w:line="200"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“month”</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calendar month.</w:t>
      </w:r>
    </w:p>
    <w:p>
      <w:pPr>
        <w:spacing w:after="0" w:line="222"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unless otherwise specifically stated and as further defined in these Articles.</w:t>
      </w:r>
    </w:p>
    <w:p>
      <w:pPr>
        <w:spacing w:after="0" w:line="222"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registered office of the Company for the time being.</w:t>
      </w:r>
    </w:p>
    <w:p>
      <w:pPr>
        <w:spacing w:after="0" w:line="222"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980"/>
        <w:spacing w:after="0"/>
        <w:rPr>
          <w:sz w:val="20"/>
          <w:szCs w:val="20"/>
          <w:color w:val="auto"/>
        </w:rPr>
      </w:pPr>
      <w:r>
        <w:rPr>
          <w:rFonts w:ascii="Arial" w:cs="Arial" w:eastAsia="Arial" w:hAnsi="Arial"/>
          <w:sz w:val="16"/>
          <w:szCs w:val="16"/>
          <w:color w:val="auto"/>
        </w:rPr>
        <w:t>the Class A Ordinary Shares and the Class B Ordinary Shares collectively.</w:t>
      </w:r>
    </w:p>
    <w:p>
      <w:pPr>
        <w:spacing w:after="0" w:line="200"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“ordinary resolution”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resolution shall be an ordinary resolution when it has been passed by a simple majority of votes cast by such Members as, being entitled so to do, vote in person or, in the case of any Member being a corporation, by its duly authorised representative or, where proxies are allowed, by proxy at a general meeting of which not less than ten (10) clear days’ Notice has been duly given.</w:t>
      </w:r>
    </w:p>
    <w:p>
      <w:pPr>
        <w:spacing w:after="0" w:line="171"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7"/>
          <w:szCs w:val="17"/>
          <w:color w:val="auto"/>
        </w:rPr>
        <w:t>“paid 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paid up or credited as paid up.</w:t>
      </w:r>
    </w:p>
    <w:p>
      <w:pPr>
        <w:spacing w:after="0" w:line="211"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“physical meeting”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general meeting held and conducted by physical attendance and participation by Members and/or proxies at the Principal Meeting Place and/or where applicable, one or more Meeting Locations.</w:t>
      </w:r>
    </w:p>
    <w:p>
      <w:pPr>
        <w:spacing w:after="0" w:line="124"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6"/>
          <w:szCs w:val="16"/>
          <w:color w:val="auto"/>
        </w:rPr>
        <w:t>“Principal Meeting 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given to it in Article 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320675</wp:posOffset>
            </wp:positionV>
            <wp:extent cx="737235" cy="857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40"/>
        <w:spacing w:after="0"/>
        <w:rPr>
          <w:sz w:val="20"/>
          <w:szCs w:val="20"/>
          <w:color w:val="auto"/>
        </w:rPr>
      </w:pPr>
      <w:r>
        <w:rPr>
          <w:rFonts w:ascii="Arial" w:cs="Arial" w:eastAsia="Arial" w:hAnsi="Arial"/>
          <w:sz w:val="16"/>
          <w:szCs w:val="16"/>
          <w:i w:val="1"/>
          <w:iCs w:val="1"/>
          <w:color w:val="auto"/>
        </w:rPr>
        <w:t>www.verify.gov.ky File#: 337027</w:t>
      </w:r>
    </w:p>
    <w:p>
      <w:pPr>
        <w:spacing w:after="0" w:line="4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color w:val="auto"/>
        </w:rPr>
        <w:t>“Register”</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the principal register and where applicable, any branch register of Members of the Company to be maintained at such place within or outside the Cayman Islands as the Board shall determine from time to time.</w:t>
      </w:r>
    </w:p>
    <w:p>
      <w:pPr>
        <w:spacing w:after="0" w:line="184" w:lineRule="exact"/>
        <w:rPr>
          <w:sz w:val="20"/>
          <w:szCs w:val="20"/>
          <w:color w:val="auto"/>
        </w:rPr>
      </w:pPr>
    </w:p>
    <w:p>
      <w:pPr>
        <w:sectPr>
          <w:pgSz w:w="11900" w:h="16838" w:orient="portrait"/>
          <w:cols w:equalWidth="0" w:num="2">
            <w:col w:w="2520" w:space="720"/>
            <w:col w:w="7340"/>
          </w:cols>
          <w:pgMar w:left="980" w:top="935" w:right="339" w:bottom="1440" w:gutter="0" w:footer="0" w:header="0"/>
        </w:sectPr>
      </w:pPr>
    </w:p>
    <w:p>
      <w:pPr>
        <w:spacing w:after="0"/>
        <w:rPr>
          <w:sz w:val="20"/>
          <w:szCs w:val="20"/>
          <w:color w:val="auto"/>
        </w:rPr>
      </w:pPr>
      <w:r>
        <w:rPr>
          <w:rFonts w:ascii="Arial" w:cs="Arial" w:eastAsia="Arial" w:hAnsi="Arial"/>
          <w:sz w:val="17"/>
          <w:szCs w:val="17"/>
          <w:color w:val="auto"/>
        </w:rPr>
        <w:t>“Registration Office”</w:t>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7"/>
          <w:szCs w:val="17"/>
          <w:color w:val="auto"/>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p>
      <w:pPr>
        <w:spacing w:after="0" w:line="171"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United States Securities and Exchange Commission.</w:t>
      </w:r>
    </w:p>
    <w:p>
      <w:pPr>
        <w:spacing w:after="0" w:line="211"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means the U.S. Securities Act of 1933, as amended.</w:t>
      </w:r>
    </w:p>
    <w:p>
      <w:pPr>
        <w:spacing w:after="0" w:line="46"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580"/>
          </w:cols>
          <w:pgMar w:left="980" w:top="935"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8"/>
          <w:szCs w:val="18"/>
          <w:color w:val="auto"/>
        </w:rPr>
        <w:t>common seal or any one or more duplicate seals of the Company (including a securities seal) for use in the Cayman Islands or in any place outside the Cayman Islands.</w:t>
      </w:r>
    </w:p>
    <w:p>
      <w:pPr>
        <w:spacing w:after="0" w:line="185"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br w:type="column"/>
      </w:r>
    </w:p>
    <w:p>
      <w:pPr>
        <w:ind w:right="20"/>
        <w:spacing w:after="0" w:line="308" w:lineRule="auto"/>
        <w:rPr>
          <w:sz w:val="20"/>
          <w:szCs w:val="20"/>
          <w:color w:val="auto"/>
        </w:rPr>
      </w:pPr>
      <w:r>
        <w:rPr>
          <w:rFonts w:ascii="Arial" w:cs="Arial" w:eastAsia="Arial" w:hAnsi="Arial"/>
          <w:sz w:val="17"/>
          <w:szCs w:val="17"/>
          <w:color w:val="auto"/>
        </w:rPr>
        <w:t>any person, firm or corporation appointed by the Board to perform any of the duties of secretary of the Company and includes any assistant, deputy, temporary or acting secretary.</w:t>
      </w:r>
    </w:p>
    <w:p>
      <w:pPr>
        <w:spacing w:after="0" w:line="146"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6"/>
          <w:szCs w:val="16"/>
          <w:color w:val="auto"/>
        </w:rPr>
        <w:t>“special resolution”</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a resolution shall be a special resolution when it has been passed by a majority of not less than two-thirds of votes cast by such Members as, being entitled so to do, vote in person or, in the case of such Members as are corporations, by their respective duly authorised representative or, where proxies are allowed, by proxy at a general meeting of which not less than ten (10) clear days’ Notice, specifying (without prejudice to the power contained in these Articles to amend the same) the intention to propose the resolution as a special resolution, has been duly given. Provided that, except in the case of an annual general meeting, if it is so agreed by a majority in number of the Members having the right to attend and vote at any such meeting, being a majority together holding not less than ninety-five (95) per cent. in nominal value of the shares giving that right and in the case of an annual general meeting, if it is so agreed by all Members entitled to attend and vote thereat, a resolution may be proposed and passed as a special resolution at a meeting of which less than ten (10) clear days’ Notice has been given;</w:t>
      </w:r>
    </w:p>
    <w:p>
      <w:pPr>
        <w:spacing w:after="0" w:line="179"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ind w:left="3240"/>
        <w:spacing w:after="0" w:line="277" w:lineRule="auto"/>
        <w:rPr>
          <w:sz w:val="20"/>
          <w:szCs w:val="20"/>
          <w:color w:val="auto"/>
        </w:rPr>
      </w:pPr>
      <w:r>
        <w:rPr>
          <w:rFonts w:ascii="Arial" w:cs="Arial" w:eastAsia="Arial" w:hAnsi="Arial"/>
          <w:sz w:val="18"/>
          <w:szCs w:val="18"/>
          <w:color w:val="auto"/>
        </w:rPr>
        <w:t>a special resolution shall be effective for any purpose for which an ordinary resolution is expressed to be required under any provision of these Articles or the Statutes.</w:t>
      </w:r>
    </w:p>
    <w:p>
      <w:pPr>
        <w:sectPr>
          <w:pgSz w:w="11900" w:h="16838" w:orient="portrait"/>
          <w:cols w:equalWidth="0" w:num="1">
            <w:col w:w="10580"/>
          </w:cols>
          <w:pgMar w:left="980" w:top="935"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“Statutes”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Act and every other law of the Legislature of the Cayman Islands for the time being in force applying to or affecting the Company, its memorandum of association and/or these Articles.</w:t>
      </w:r>
    </w:p>
    <w:p>
      <w:pPr>
        <w:spacing w:after="0" w:line="146"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rPr>
          <w:sz w:val="20"/>
          <w:szCs w:val="20"/>
          <w:color w:val="auto"/>
        </w:rPr>
      </w:pPr>
      <w:r>
        <w:rPr>
          <w:rFonts w:ascii="Arial" w:cs="Arial" w:eastAsia="Arial" w:hAnsi="Arial"/>
          <w:sz w:val="17"/>
          <w:szCs w:val="17"/>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311150</wp:posOffset>
            </wp:positionV>
            <wp:extent cx="737235" cy="857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2520" w:space="720"/>
            <w:col w:w="7340"/>
          </w:cols>
          <w:pgMar w:left="980" w:top="9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40"/>
        <w:spacing w:after="0"/>
        <w:rPr>
          <w:sz w:val="20"/>
          <w:szCs w:val="20"/>
          <w:color w:val="auto"/>
        </w:rPr>
      </w:pPr>
      <w:r>
        <w:rPr>
          <w:rFonts w:ascii="Arial" w:cs="Arial" w:eastAsia="Arial" w:hAnsi="Arial"/>
          <w:sz w:val="16"/>
          <w:szCs w:val="16"/>
          <w:i w:val="1"/>
          <w:iCs w:val="1"/>
          <w:color w:val="auto"/>
        </w:rPr>
        <w:t>www.verify.gov.ky File#: 337027</w:t>
      </w:r>
    </w:p>
    <w:p>
      <w:pPr>
        <w:spacing w:after="0" w:line="4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5" w:right="339" w:bottom="1440" w:gutter="0" w:footer="0" w:header="0"/>
          <w:type w:val="continuous"/>
        </w:sectPr>
      </w:pPr>
    </w:p>
    <w:bookmarkStart w:id="11" w:name="page12"/>
    <w:bookmarkEnd w:id="11"/>
    <w:p>
      <w:pPr>
        <w:ind w:left="4"/>
        <w:spacing w:after="0"/>
        <w:rPr>
          <w:sz w:val="20"/>
          <w:szCs w:val="20"/>
          <w:color w:val="auto"/>
        </w:rPr>
      </w:pPr>
      <w:r>
        <w:rPr>
          <w:rFonts w:ascii="Arial" w:cs="Arial" w:eastAsia="Arial" w:hAnsi="Arial"/>
          <w:sz w:val="18"/>
          <w:szCs w:val="18"/>
          <w:color w:val="auto"/>
        </w:rPr>
        <w:t>(2) In these Articles, unless there be something within the subject or context inconsistent with such construction:</w:t>
      </w:r>
    </w:p>
    <w:p>
      <w:pPr>
        <w:spacing w:after="0" w:line="225" w:lineRule="exact"/>
        <w:rPr>
          <w:sz w:val="20"/>
          <w:szCs w:val="20"/>
          <w:color w:val="auto"/>
        </w:rPr>
      </w:pPr>
    </w:p>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words importing a gender include both gender and the neuter;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words importing persons include companies, associations and bodies of persons whether corporate or not;</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words:</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
        </w:numPr>
        <w:rPr>
          <w:rFonts w:ascii="Arial" w:cs="Arial" w:eastAsia="Arial" w:hAnsi="Arial"/>
          <w:sz w:val="18"/>
          <w:szCs w:val="18"/>
          <w:color w:val="auto"/>
        </w:rPr>
      </w:pPr>
      <w:r>
        <w:rPr>
          <w:rFonts w:ascii="Arial" w:cs="Arial" w:eastAsia="Arial" w:hAnsi="Arial"/>
          <w:sz w:val="18"/>
          <w:szCs w:val="18"/>
          <w:color w:val="auto"/>
        </w:rPr>
        <w:t>“may” shall be construed as permissive;</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“shall” or “will” shall be construed as imperative;</w:t>
      </w:r>
    </w:p>
    <w:p>
      <w:pPr>
        <w:spacing w:after="0" w:line="225" w:lineRule="exact"/>
        <w:rPr>
          <w:rFonts w:ascii="Arial" w:cs="Arial" w:eastAsia="Arial" w:hAnsi="Arial"/>
          <w:sz w:val="18"/>
          <w:szCs w:val="18"/>
          <w:color w:val="auto"/>
        </w:rPr>
      </w:pPr>
    </w:p>
    <w:p>
      <w:pPr>
        <w:jc w:val="both"/>
        <w:ind w:left="644" w:hanging="644"/>
        <w:spacing w:after="0" w:line="273" w:lineRule="auto"/>
        <w:tabs>
          <w:tab w:leader="none" w:pos="644"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expressions referring to writing shall, unless the contrary intention appears, be construed as including printing, lithography, photography and other modes of representing or reproducing words or figures in a legible and non-transitory form or, to the extent permitted by and in accordance with the Statutes and other applicable laws, rules and regulations, any visible substitute for writing (including an electronic communication), or modes of representing or reproducing words partly in one visible form and partly in another visible form, and including where the representation takes the form of electronic display, provided that both the mode of service of the relevant document or Notice and the Member’s election comply with all applicable Statutes, rules and regulations;</w:t>
      </w:r>
    </w:p>
    <w:p>
      <w:pPr>
        <w:spacing w:after="0" w:line="177"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any law, ordinance, statute or statutory provision shall be interpreted as relating to any statutory modification or re-enactment thereof for the time being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254635</wp:posOffset>
            </wp:positionV>
            <wp:extent cx="737235" cy="8572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44"/>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ind w:left="1292" w:hanging="644"/>
        <w:spacing w:after="0" w:line="277" w:lineRule="auto"/>
        <w:tabs>
          <w:tab w:leader="none" w:pos="1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save as aforesaid words and expressions defined in the Statutes shall bear the same meanings in these Articles if not inconsistent with the subject in the context;</w:t>
      </w:r>
    </w:p>
    <w:p>
      <w:pPr>
        <w:spacing w:after="0" w:line="170"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references to a document (including, without limitation, a resolution in writing) being signed or executed include references to it being signed or executed under hand or under seal or by electronic signature or by electronic communication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71" w:lineRule="exact"/>
        <w:rPr>
          <w:rFonts w:ascii="Arial" w:cs="Arial" w:eastAsia="Arial" w:hAnsi="Arial"/>
          <w:sz w:val="17"/>
          <w:szCs w:val="17"/>
          <w:color w:val="auto"/>
        </w:rPr>
      </w:pPr>
    </w:p>
    <w:p>
      <w:pPr>
        <w:ind w:left="1292" w:hanging="644"/>
        <w:spacing w:after="0" w:line="308" w:lineRule="auto"/>
        <w:tabs>
          <w:tab w:leader="none" w:pos="1292"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Section 8 and Section 19 of the Electronic Transactions Act (2003) of the Cayman Islands, as amended from time to time, shall not apply to these Articles to the extent it imposes obligations or requirements in addition to those set out in these Articles.</w:t>
      </w:r>
    </w:p>
    <w:p>
      <w:pPr>
        <w:spacing w:after="0" w:line="146" w:lineRule="exact"/>
        <w:rPr>
          <w:rFonts w:ascii="Arial" w:cs="Arial" w:eastAsia="Arial" w:hAnsi="Arial"/>
          <w:sz w:val="17"/>
          <w:szCs w:val="17"/>
          <w:color w:val="auto"/>
        </w:rPr>
      </w:pPr>
    </w:p>
    <w:p>
      <w:pPr>
        <w:jc w:val="both"/>
        <w:ind w:left="1292" w:hanging="644"/>
        <w:spacing w:after="0" w:line="259" w:lineRule="auto"/>
        <w:tabs>
          <w:tab w:leader="none" w:pos="1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reference to a meeting: (a) shall mean a meeting convened and held in any manner permitted by these Articles and any Member or Director attending and participating at a meeting by means of electronic facilities shall be deemed to be present at that meeting for all purposes of the Statutes and these Articles, and attend, participate, attending, participating, attendance and participation shall be construed accordingly;</w:t>
      </w:r>
    </w:p>
    <w:p>
      <w:pPr>
        <w:spacing w:after="0" w:line="186"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references to a person’s participation in the business of a general meeting include without limitation and as relevant the right (including, in the case of a corporation, through a duly authorised representative) to speak or communicate, vote, be represented by a proxy and have access in hard copy or electronic form to all documents which are required by the Statutes or these Articles to be made available at the meeting, and participate and participating in the business of a general meeting shall be construed accordingly;</w:t>
      </w:r>
    </w:p>
    <w:p>
      <w:pPr>
        <w:spacing w:after="0" w:line="171" w:lineRule="exact"/>
        <w:rPr>
          <w:rFonts w:ascii="Arial" w:cs="Arial" w:eastAsia="Arial" w:hAnsi="Arial"/>
          <w:sz w:val="17"/>
          <w:szCs w:val="17"/>
          <w:color w:val="auto"/>
        </w:rPr>
      </w:pPr>
    </w:p>
    <w:p>
      <w:pPr>
        <w:ind w:left="1292" w:hanging="644"/>
        <w:spacing w:after="0" w:line="277" w:lineRule="auto"/>
        <w:tabs>
          <w:tab w:leader="none" w:pos="1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electronic facilities include, without limitation, website addresses, webinars, webcasts, video or any form of conference call systems (telephone, video, web or otherwise); and</w:t>
      </w:r>
    </w:p>
    <w:p>
      <w:pPr>
        <w:spacing w:after="0" w:line="170"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 a Member is a corporation, any reference in these Articles to a Member shall, where the context requires, refer to a duly authorised representative of such Member.</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SHARE CAPITAL</w:t>
      </w:r>
    </w:p>
    <w:p>
      <w:pPr>
        <w:spacing w:after="0" w:line="225" w:lineRule="exact"/>
        <w:rPr>
          <w:sz w:val="20"/>
          <w:szCs w:val="20"/>
          <w:color w:val="auto"/>
        </w:rPr>
      </w:pPr>
    </w:p>
    <w:p>
      <w:pPr>
        <w:ind w:left="-8" w:firstLine="8"/>
        <w:spacing w:after="0" w:line="342" w:lineRule="auto"/>
        <w:tabs>
          <w:tab w:leader="none" w:pos="179" w:val="left"/>
        </w:tabs>
        <w:numPr>
          <w:ilvl w:val="0"/>
          <w:numId w:val="6"/>
        </w:numPr>
        <w:rPr>
          <w:rFonts w:ascii="Arial" w:cs="Arial" w:eastAsia="Arial" w:hAnsi="Arial"/>
          <w:sz w:val="16"/>
          <w:szCs w:val="16"/>
          <w:color w:val="auto"/>
        </w:rPr>
      </w:pPr>
      <w:r>
        <w:rPr>
          <w:rFonts w:ascii="Arial" w:cs="Arial" w:eastAsia="Arial" w:hAnsi="Arial"/>
          <w:sz w:val="16"/>
          <w:szCs w:val="16"/>
          <w:color w:val="auto"/>
        </w:rPr>
        <w:t>(1) The share capital of the Company at the date on which these Articles come into effect shall be divided into 380,000,000 Ordinary Shares consisting of (a) 333,374,217 Class A Ordinary Shares of a par value of HK$0.001 each and (b) 46,625,783 Class B Ordinary Shares of par value HK$0.001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224790</wp:posOffset>
            </wp:positionV>
            <wp:extent cx="737235" cy="857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3" w:name="page14"/>
    <w:bookmarkEnd w:id="13"/>
    <w:p>
      <w:pPr>
        <w:jc w:val="both"/>
        <w:ind w:left="-8" w:firstLine="656"/>
        <w:spacing w:after="0" w:line="279" w:lineRule="auto"/>
        <w:tabs>
          <w:tab w:leader="none" w:pos="929"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 to the Act, the Company’s Memorandum and Articles of Association and, where applicable, the rules of the Designated Stock Exchange and/or any competent regulatory authority, the Company shall have the power to purchase or otherwise acquire its own shares and such power shall be exercisable by the Board in such manner, upon such terms and subject to such conditions as it in its absolute discretion thinks fit and any determination by the Board of the manner of purchase shall be deemed authorized by these Articles for purposes of the Act.</w:t>
      </w:r>
    </w:p>
    <w:p>
      <w:pPr>
        <w:spacing w:after="0" w:line="171" w:lineRule="exact"/>
        <w:rPr>
          <w:rFonts w:ascii="Arial" w:cs="Arial" w:eastAsia="Arial" w:hAnsi="Arial"/>
          <w:sz w:val="17"/>
          <w:szCs w:val="17"/>
          <w:color w:val="auto"/>
        </w:rPr>
      </w:pPr>
    </w:p>
    <w:p>
      <w:pPr>
        <w:jc w:val="both"/>
        <w:ind w:left="-8" w:firstLine="656"/>
        <w:spacing w:after="0" w:line="275" w:lineRule="auto"/>
        <w:tabs>
          <w:tab w:leader="none" w:pos="90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 authorised to hold treasury shares in accordance with the Act and may designate as treasury shares any of its shares that it purchases or redeems, or any share surrendered to it subject to the rules of the Designated Stock Exchange and/or any competent regulatory authority. Shares held by the Company as treasury shares shall continue to be classified as treasury shares until such shares are either cancelled or transferred as the Board may determine on such terms and subject to such conditions as it in its absolute discretion thinks fits in accordance with the Act subject to the rules of the Designated Stock Exchange and/or any competent regulatory authority</w:t>
      </w:r>
    </w:p>
    <w:p>
      <w:pPr>
        <w:spacing w:after="0" w:line="176" w:lineRule="exact"/>
        <w:rPr>
          <w:rFonts w:ascii="Arial" w:cs="Arial" w:eastAsia="Arial" w:hAnsi="Arial"/>
          <w:sz w:val="17"/>
          <w:szCs w:val="17"/>
          <w:color w:val="auto"/>
        </w:rPr>
      </w:pPr>
    </w:p>
    <w:p>
      <w:pPr>
        <w:ind w:left="-8" w:firstLine="656"/>
        <w:spacing w:after="0" w:line="277" w:lineRule="auto"/>
        <w:tabs>
          <w:tab w:leader="none" w:pos="8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accept the surrender for no consideration of any fully paid share unless, as a result of such surrender, there would no longer be any issued shares of the Company other than shares held as treasury shares.</w:t>
      </w:r>
    </w:p>
    <w:p>
      <w:pPr>
        <w:spacing w:after="0" w:line="170" w:lineRule="exact"/>
        <w:rPr>
          <w:rFonts w:ascii="Arial" w:cs="Arial" w:eastAsia="Arial" w:hAnsi="Arial"/>
          <w:sz w:val="18"/>
          <w:szCs w:val="18"/>
          <w:color w:val="auto"/>
        </w:rPr>
      </w:pPr>
    </w:p>
    <w:p>
      <w:pPr>
        <w:ind w:left="912" w:hanging="264"/>
        <w:spacing w:after="0"/>
        <w:tabs>
          <w:tab w:leader="none" w:pos="91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share shall be issued to bearer.</w:t>
      </w:r>
    </w:p>
    <w:p>
      <w:pPr>
        <w:spacing w:after="0" w:line="225" w:lineRule="exact"/>
        <w:rPr>
          <w:sz w:val="20"/>
          <w:szCs w:val="20"/>
          <w:color w:val="auto"/>
        </w:rPr>
      </w:pPr>
    </w:p>
    <w:p>
      <w:pPr>
        <w:ind w:left="4852"/>
        <w:spacing w:after="0"/>
        <w:rPr>
          <w:sz w:val="20"/>
          <w:szCs w:val="20"/>
          <w:color w:val="auto"/>
        </w:rPr>
      </w:pPr>
      <w:r>
        <w:rPr>
          <w:rFonts w:ascii="Arial" w:cs="Arial" w:eastAsia="Arial" w:hAnsi="Arial"/>
          <w:sz w:val="18"/>
          <w:szCs w:val="18"/>
          <w:u w:val="single" w:color="auto"/>
          <w:color w:val="auto"/>
        </w:rPr>
        <w:t>ALTERATION OF CAPITAL</w:t>
      </w:r>
    </w:p>
    <w:p>
      <w:pPr>
        <w:spacing w:after="0" w:line="225" w:lineRule="exact"/>
        <w:rPr>
          <w:sz w:val="20"/>
          <w:szCs w:val="20"/>
          <w:color w:val="auto"/>
        </w:rPr>
      </w:pPr>
    </w:p>
    <w:p>
      <w:pPr>
        <w:ind w:left="172" w:hanging="172"/>
        <w:spacing w:after="0"/>
        <w:tabs>
          <w:tab w:leader="none" w:pos="17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may from time to time by ordinary resolution in accordance with the Act alter the conditions of its Memorandum of Association to:</w:t>
      </w:r>
    </w:p>
    <w:p>
      <w:pPr>
        <w:spacing w:after="0" w:line="236" w:lineRule="exact"/>
        <w:rPr>
          <w:rFonts w:ascii="Arial" w:cs="Arial" w:eastAsia="Arial" w:hAnsi="Arial"/>
          <w:sz w:val="17"/>
          <w:szCs w:val="17"/>
          <w:color w:val="auto"/>
        </w:rPr>
      </w:pPr>
    </w:p>
    <w:p>
      <w:pPr>
        <w:ind w:left="1292" w:hanging="644"/>
        <w:spacing w:after="0"/>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increase its capital by such sum, to be divided into shares of such amounts, as the resolution shall prescribe;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consolidate and divide all or any of its capital into shares of larger amount than its existing shares;</w:t>
      </w:r>
    </w:p>
    <w:p>
      <w:pPr>
        <w:spacing w:after="0" w:line="221" w:lineRule="exact"/>
        <w:rPr>
          <w:rFonts w:ascii="Arial" w:cs="Arial" w:eastAsia="Arial" w:hAnsi="Arial"/>
          <w:sz w:val="18"/>
          <w:szCs w:val="18"/>
          <w:color w:val="auto"/>
        </w:rPr>
      </w:pPr>
    </w:p>
    <w:p>
      <w:pPr>
        <w:jc w:val="both"/>
        <w:ind w:left="1292" w:hanging="644"/>
        <w:spacing w:after="0" w:line="289" w:lineRule="auto"/>
        <w:tabs>
          <w:tab w:leader="none" w:pos="1292" w:val="left"/>
        </w:tabs>
        <w:numPr>
          <w:ilvl w:val="1"/>
          <w:numId w:val="8"/>
        </w:numPr>
        <w:rPr>
          <w:rFonts w:ascii="Arial" w:cs="Arial" w:eastAsia="Arial" w:hAnsi="Arial"/>
          <w:sz w:val="16"/>
          <w:szCs w:val="16"/>
          <w:color w:val="auto"/>
        </w:rPr>
      </w:pPr>
      <w:r>
        <w:rPr>
          <w:rFonts w:ascii="Arial" w:cs="Arial" w:eastAsia="Arial" w:hAnsi="Arial"/>
          <w:sz w:val="16"/>
          <w:szCs w:val="16"/>
          <w:color w:val="auto"/>
        </w:rPr>
        <w:t>without prejudice to the powers of the Board under Article 13</w:t>
      </w:r>
      <w:r>
        <w:rPr>
          <w:rFonts w:ascii="Arial" w:cs="Arial" w:eastAsia="Arial" w:hAnsi="Arial"/>
          <w:sz w:val="16"/>
          <w:szCs w:val="16"/>
          <w:b w:val="1"/>
          <w:bCs w:val="1"/>
          <w:color w:val="auto"/>
        </w:rPr>
        <w:t>,</w:t>
      </w:r>
      <w:r>
        <w:rPr>
          <w:rFonts w:ascii="Arial" w:cs="Arial" w:eastAsia="Arial" w:hAnsi="Arial"/>
          <w:sz w:val="16"/>
          <w:szCs w:val="16"/>
          <w:color w:val="auto"/>
        </w:rPr>
        <w:t xml:space="preserve">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254000</wp:posOffset>
            </wp:positionV>
            <wp:extent cx="737235" cy="857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4" w:name="page15"/>
    <w:bookmarkEnd w:id="14"/>
    <w:p>
      <w:pPr>
        <w:jc w:val="both"/>
        <w:ind w:left="1300" w:hanging="644"/>
        <w:spacing w:after="0" w:line="279"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7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83" w:lineRule="exact"/>
        <w:rPr>
          <w:rFonts w:ascii="Arial" w:cs="Arial" w:eastAsia="Arial" w:hAnsi="Arial"/>
          <w:sz w:val="18"/>
          <w:szCs w:val="18"/>
          <w:color w:val="auto"/>
        </w:rPr>
      </w:pPr>
    </w:p>
    <w:p>
      <w:pPr>
        <w:jc w:val="both"/>
        <w:ind w:firstLine="8"/>
        <w:spacing w:after="0" w:line="293"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Board may settle as it considers expedient any difficulty which arises in relation to any consolidation and division under the last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64" w:lineRule="exact"/>
        <w:rPr>
          <w:rFonts w:ascii="Arial" w:cs="Arial" w:eastAsia="Arial" w:hAnsi="Arial"/>
          <w:sz w:val="16"/>
          <w:szCs w:val="16"/>
          <w:color w:val="auto"/>
        </w:rPr>
      </w:pPr>
    </w:p>
    <w:p>
      <w:pPr>
        <w:ind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from time to time by special resolution, subject to any confirmation or consent required by the Act, reduce its share capital or any capital redemption reserve or other undistributable reserve in any manner permitted by law.</w:t>
      </w:r>
    </w:p>
    <w:p>
      <w:pPr>
        <w:spacing w:after="0" w:line="170" w:lineRule="exact"/>
        <w:rPr>
          <w:rFonts w:ascii="Arial" w:cs="Arial" w:eastAsia="Arial" w:hAnsi="Arial"/>
          <w:sz w:val="18"/>
          <w:szCs w:val="18"/>
          <w:color w:val="auto"/>
        </w:rPr>
      </w:pPr>
    </w:p>
    <w:p>
      <w:pPr>
        <w:jc w:val="both"/>
        <w:ind w:firstLine="8"/>
        <w:spacing w:after="0" w:line="286"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 RIGHTS</w:t>
      </w:r>
    </w:p>
    <w:p>
      <w:pPr>
        <w:spacing w:after="0" w:line="225" w:lineRule="exact"/>
        <w:rPr>
          <w:sz w:val="20"/>
          <w:szCs w:val="20"/>
          <w:color w:val="auto"/>
        </w:rPr>
      </w:pPr>
    </w:p>
    <w:p>
      <w:pPr>
        <w:jc w:val="both"/>
        <w:ind w:firstLine="8"/>
        <w:spacing w:after="0" w:line="275" w:lineRule="auto"/>
        <w:tabs>
          <w:tab w:leader="none" w:pos="191"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Subject to the provisions of the Act, the rules of the Designated Stock Exchange and the Memorandum and Articles of Association and to any special rights conferred on the holders of any shares or class of shares, and without prejudice to Article 13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257810</wp:posOffset>
            </wp:positionV>
            <wp:extent cx="737235" cy="857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8" w:firstLine="8"/>
        <w:spacing w:after="0" w:line="275" w:lineRule="auto"/>
        <w:tabs>
          <w:tab w:leader="none" w:pos="1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Subject to the Act, any preferred shares may be issued or converted into shares that, at a determinable date or at the option of the Company or the holder if so authorised by its Memorandum of Association, are liable to be redeemed on such terms and in such manner as the Company before the issue or conversion may by ordinary resolution of the Members determine. Where the Company purchases for redemption a redeemable share, purchases not made through the market or by tender shall be limited to a maximum price as may from time to time be determined by the Board, either generally or with regard to specific purchases. If purchases are by tender, tenders shall comply with applicable laws.</w:t>
      </w:r>
    </w:p>
    <w:p>
      <w:pPr>
        <w:spacing w:after="0" w:line="176" w:lineRule="exact"/>
        <w:rPr>
          <w:rFonts w:ascii="Arial" w:cs="Arial" w:eastAsia="Arial" w:hAnsi="Arial"/>
          <w:sz w:val="17"/>
          <w:szCs w:val="17"/>
          <w:color w:val="auto"/>
        </w:rPr>
      </w:pPr>
    </w:p>
    <w:p>
      <w:pPr>
        <w:ind w:left="272" w:hanging="272"/>
        <w:spacing w:after="0"/>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rights and restrictions attaching to the Ordinary Shares are as follows: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Income.</w:t>
      </w:r>
    </w:p>
    <w:p>
      <w:pPr>
        <w:spacing w:after="0" w:line="225" w:lineRule="exact"/>
        <w:rPr>
          <w:rFonts w:ascii="Arial" w:cs="Arial" w:eastAsia="Arial" w:hAnsi="Arial"/>
          <w:sz w:val="18"/>
          <w:szCs w:val="18"/>
          <w:color w:val="auto"/>
        </w:rPr>
      </w:pPr>
    </w:p>
    <w:p>
      <w:pPr>
        <w:ind w:left="1292"/>
        <w:spacing w:after="0" w:line="277" w:lineRule="auto"/>
        <w:rPr>
          <w:rFonts w:ascii="Arial" w:cs="Arial" w:eastAsia="Arial" w:hAnsi="Arial"/>
          <w:sz w:val="18"/>
          <w:szCs w:val="18"/>
          <w:color w:val="auto"/>
        </w:rPr>
      </w:pPr>
      <w:r>
        <w:rPr>
          <w:rFonts w:ascii="Arial" w:cs="Arial" w:eastAsia="Arial" w:hAnsi="Arial"/>
          <w:sz w:val="18"/>
          <w:szCs w:val="18"/>
          <w:color w:val="auto"/>
        </w:rPr>
        <w:t>Holders of Ordinary Shares shall be entitled to such dividends as the Directors may in their absolute discretion lawfully declare from time to time.</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Capital</w:t>
      </w:r>
    </w:p>
    <w:p>
      <w:pPr>
        <w:spacing w:after="0" w:line="225" w:lineRule="exact"/>
        <w:rPr>
          <w:rFonts w:ascii="Arial" w:cs="Arial" w:eastAsia="Arial" w:hAnsi="Arial"/>
          <w:sz w:val="18"/>
          <w:szCs w:val="18"/>
          <w:color w:val="auto"/>
        </w:rPr>
      </w:pPr>
    </w:p>
    <w:p>
      <w:pPr>
        <w:jc w:val="both"/>
        <w:ind w:left="1292"/>
        <w:spacing w:after="0" w:line="263" w:lineRule="auto"/>
        <w:rPr>
          <w:rFonts w:ascii="Arial" w:cs="Arial" w:eastAsia="Arial" w:hAnsi="Arial"/>
          <w:sz w:val="18"/>
          <w:szCs w:val="18"/>
          <w:color w:val="auto"/>
        </w:rPr>
      </w:pPr>
      <w:r>
        <w:rPr>
          <w:rFonts w:ascii="Arial" w:cs="Arial" w:eastAsia="Arial" w:hAnsi="Arial"/>
          <w:sz w:val="18"/>
          <w:szCs w:val="18"/>
          <w:color w:val="auto"/>
        </w:rPr>
        <w:t>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Attendance at General Meetings and Voting</w:t>
      </w:r>
    </w:p>
    <w:p>
      <w:pPr>
        <w:spacing w:after="0" w:line="225" w:lineRule="exact"/>
        <w:rPr>
          <w:rFonts w:ascii="Arial" w:cs="Arial" w:eastAsia="Arial" w:hAnsi="Arial"/>
          <w:sz w:val="18"/>
          <w:szCs w:val="18"/>
          <w:color w:val="auto"/>
        </w:rPr>
      </w:pPr>
    </w:p>
    <w:p>
      <w:pPr>
        <w:jc w:val="both"/>
        <w:ind w:left="1292"/>
        <w:spacing w:after="0" w:line="257" w:lineRule="auto"/>
        <w:rPr>
          <w:rFonts w:ascii="Arial" w:cs="Arial" w:eastAsia="Arial" w:hAnsi="Arial"/>
          <w:sz w:val="18"/>
          <w:szCs w:val="18"/>
          <w:color w:val="auto"/>
        </w:rPr>
      </w:pPr>
      <w:r>
        <w:rPr>
          <w:rFonts w:ascii="Arial" w:cs="Arial" w:eastAsia="Arial" w:hAnsi="Arial"/>
          <w:sz w:val="18"/>
          <w:szCs w:val="18"/>
          <w:color w:val="auto"/>
        </w:rPr>
        <w:t>Holders of Ordinary Shares have the right to receive notice of, attend, speak and vote at general meetings of the Company. Holders of shares of Class A Ordinary Shares and Class B Ordinary Shares shall, at all times, vote together as one class on all matters submitted to a vote for Members’ consent. Each share of Class A Ordinary Share shall be entitled to one (1) vote on all matters subject to the vote at general meetings of the Company, and each share of Class B Ordinary Share shall be entitled to twenty (20) votes on all matters subject to the vote at general meetings of the Company.</w:t>
      </w:r>
    </w:p>
    <w:p>
      <w:pPr>
        <w:spacing w:after="0" w:line="187" w:lineRule="exact"/>
        <w:rPr>
          <w:rFonts w:ascii="Arial" w:cs="Arial" w:eastAsia="Arial" w:hAnsi="Arial"/>
          <w:sz w:val="18"/>
          <w:szCs w:val="18"/>
          <w:color w:val="auto"/>
        </w:rPr>
      </w:pPr>
    </w:p>
    <w:p>
      <w:pPr>
        <w:ind w:left="1292" w:hanging="644"/>
        <w:spacing w:after="0"/>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Conversion</w:t>
      </w:r>
    </w:p>
    <w:p>
      <w:pPr>
        <w:spacing w:after="0" w:line="225" w:lineRule="exact"/>
        <w:rPr>
          <w:rFonts w:ascii="Arial" w:cs="Arial" w:eastAsia="Arial" w:hAnsi="Arial"/>
          <w:sz w:val="18"/>
          <w:szCs w:val="18"/>
          <w:color w:val="auto"/>
        </w:rPr>
      </w:pPr>
    </w:p>
    <w:p>
      <w:pPr>
        <w:ind w:left="1952" w:hanging="656"/>
        <w:spacing w:after="0" w:line="277" w:lineRule="auto"/>
        <w:tabs>
          <w:tab w:leader="none" w:pos="19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Each share of Class B Ordinary Share is convertible into one (1) share of Class A Ordinary Share at any time by the holder thereof. In no event shall Class A Ordinary Shares be convertible into Class B Ordinary Shares.</w:t>
      </w:r>
    </w:p>
    <w:p>
      <w:pPr>
        <w:spacing w:after="0" w:line="170" w:lineRule="exact"/>
        <w:rPr>
          <w:rFonts w:ascii="Arial" w:cs="Arial" w:eastAsia="Arial" w:hAnsi="Arial"/>
          <w:sz w:val="18"/>
          <w:szCs w:val="18"/>
          <w:color w:val="auto"/>
        </w:rPr>
      </w:pPr>
    </w:p>
    <w:p>
      <w:pPr>
        <w:jc w:val="both"/>
        <w:ind w:left="1952" w:hanging="656"/>
        <w:spacing w:after="0" w:line="254" w:lineRule="auto"/>
        <w:tabs>
          <w:tab w:leader="none" w:pos="19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Upon any sale or disposition of Class B Ordinary Shares by a holder thereof to any person or entity which is not ultimately controlled by the Founder, such Class B Ordinary Shares shall be automatically and immediately converted into an equal number of Class A Ordinary Shares; provided that, except as set forth in Article 10(d)(iv) below, a change in the beneficial ownership of Class B Ordinary Shares from a holder of Class B Ordinary Shares to an entity ultimately controlled by the Founder shall not cause a conversion under this Article 10(d)(iii). For the avoidance of doubt, the pledge, transfer, assignment or disposition of Class B Ordinary Shares by a holder thereof to any of the following shall be exempt from, and not trigger, the automatic conversion contemplated under this Article 10(d)(iii): (i) to a shareholder of such holder or (ii) to a limited partner of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267970</wp:posOffset>
            </wp:positionV>
            <wp:extent cx="737235" cy="857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 w:name="page17"/>
    <w:bookmarkEnd w:id="16"/>
    <w:p>
      <w:pPr>
        <w:jc w:val="both"/>
        <w:ind w:left="840" w:hanging="656"/>
        <w:spacing w:after="0" w:line="263"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avoidance of doubt, a transfer shall be effective upon the Company’s registration of such transfer in its register of Members. For purposes of this Article 10(d)(iii) and Article 10(d)(iv), “beneficial ownership” shall have the meaning defined in Rule 13d-3 under the U.S. Securities Exchange Act of 1934, as amended.</w:t>
      </w:r>
    </w:p>
    <w:p>
      <w:pPr>
        <w:spacing w:after="0" w:line="183" w:lineRule="exact"/>
        <w:rPr>
          <w:rFonts w:ascii="Arial" w:cs="Arial" w:eastAsia="Arial" w:hAnsi="Arial"/>
          <w:sz w:val="18"/>
          <w:szCs w:val="18"/>
          <w:color w:val="auto"/>
        </w:rPr>
      </w:pPr>
    </w:p>
    <w:p>
      <w:pPr>
        <w:jc w:val="both"/>
        <w:ind w:left="840" w:hanging="656"/>
        <w:spacing w:after="0" w:line="275"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conversion of Class B Ordinary Shares into Class A Ordinary Shares pursuant to this Article 10 shall be effected by means of the re-designation and re-classification of the relevant Class B Ordinary Share as a Class A Ordinary Share together with such rights and restrictions and which shall rank pari passu is all respects with the Class A Ordinary Shares then in issue. Such conversion shall become effective forthwith upon entries being made in the Register of Members to record the re-designation and re-classification of the relevant Class B Ordinary Shares as Class A Ordinary Shares.</w:t>
      </w:r>
    </w:p>
    <w:p>
      <w:pPr>
        <w:spacing w:after="0" w:line="176" w:lineRule="exact"/>
        <w:rPr>
          <w:rFonts w:ascii="Arial" w:cs="Arial" w:eastAsia="Arial" w:hAnsi="Arial"/>
          <w:sz w:val="17"/>
          <w:szCs w:val="17"/>
          <w:color w:val="auto"/>
        </w:rPr>
      </w:pPr>
    </w:p>
    <w:p>
      <w:pPr>
        <w:jc w:val="both"/>
        <w:ind w:left="840" w:hanging="656"/>
        <w:spacing w:after="0" w:line="25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conversion, the Company shall allot and issue the relevant Class A Ordinary Shares to the converting Member,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 as the case may be.</w:t>
      </w:r>
    </w:p>
    <w:p>
      <w:pPr>
        <w:spacing w:after="0" w:line="194" w:lineRule="exact"/>
        <w:rPr>
          <w:rFonts w:ascii="Arial" w:cs="Arial" w:eastAsia="Arial" w:hAnsi="Arial"/>
          <w:sz w:val="18"/>
          <w:szCs w:val="18"/>
          <w:color w:val="auto"/>
        </w:rPr>
      </w:pPr>
    </w:p>
    <w:p>
      <w:pPr>
        <w:ind w:left="840" w:right="20" w:hanging="656"/>
        <w:spacing w:after="0" w:line="342"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Save and except for voting rights and conversion rights as set out in this Article 10(c) and (d), the Class A Ordinary Shares and the Class B Ordinary Shares shall rank pari passu and shall have the same rights, preferences, privileges and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224790</wp:posOffset>
            </wp:positionV>
            <wp:extent cx="737235" cy="857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u w:val="single" w:color="auto"/>
          <w:color w:val="auto"/>
        </w:rPr>
        <w:t>VARIATION OF RIGHTS</w:t>
      </w:r>
    </w:p>
    <w:p>
      <w:pPr>
        <w:spacing w:after="0" w:line="225" w:lineRule="exact"/>
        <w:rPr>
          <w:sz w:val="20"/>
          <w:szCs w:val="20"/>
          <w:color w:val="auto"/>
        </w:rPr>
      </w:pPr>
    </w:p>
    <w:p>
      <w:pPr>
        <w:jc w:val="both"/>
        <w:ind w:firstLine="8"/>
        <w:spacing w:after="0" w:line="301" w:lineRule="auto"/>
        <w:tabs>
          <w:tab w:leader="none" w:pos="2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mutatis mutandis, apply, but so that:</w:t>
      </w:r>
    </w:p>
    <w:p>
      <w:pPr>
        <w:spacing w:after="0" w:line="157"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separate general meetings of the holders of a class or series of shares may be called only by (i) the Chairman of the Board, or (ii) a majority of the entire Board (unless otherwise specifically provided by the terms of issue of the shares of such class or series). Nothing in this Article 11 shall be deemed to give any Member or Members the right to call a class or series meeting;</w:t>
      </w:r>
    </w:p>
    <w:p>
      <w:pPr>
        <w:spacing w:after="0" w:line="165"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necessary quorum (whether at a separate general meeting or at its adjourned meeting) shall be a person or persons (or in the case of a Member being a corporation, its duly authorized representative) together holding or representing by proxy not less than one-third in nominal or par value of the issued shares of that class (but so that if at any adjourned meeting of such holders a quorum as above defined is not present, those Members who are present shall form a quorum);</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every holder of shares of the class shall be entitled on a poll to one vote for every such share held by him;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holder of shares of the class present in person or by proxy or authorised representative may demand a poll.</w:t>
      </w:r>
    </w:p>
    <w:p>
      <w:pPr>
        <w:spacing w:after="0" w:line="225" w:lineRule="exact"/>
        <w:rPr>
          <w:rFonts w:ascii="Arial" w:cs="Arial" w:eastAsia="Arial" w:hAnsi="Arial"/>
          <w:sz w:val="18"/>
          <w:szCs w:val="18"/>
          <w:color w:val="auto"/>
        </w:rPr>
      </w:pPr>
    </w:p>
    <w:p>
      <w:pPr>
        <w:ind w:firstLine="8"/>
        <w:spacing w:after="0" w:line="342" w:lineRule="auto"/>
        <w:tabs>
          <w:tab w:leader="none" w:pos="2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pari passu therewith.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SHARES</w:t>
      </w:r>
    </w:p>
    <w:p>
      <w:pPr>
        <w:spacing w:after="0" w:line="225" w:lineRule="exact"/>
        <w:rPr>
          <w:sz w:val="20"/>
          <w:szCs w:val="20"/>
          <w:color w:val="auto"/>
        </w:rPr>
      </w:pPr>
    </w:p>
    <w:p>
      <w:pPr>
        <w:jc w:val="both"/>
        <w:ind w:firstLine="8"/>
        <w:spacing w:after="0" w:line="287" w:lineRule="auto"/>
        <w:tabs>
          <w:tab w:leader="none" w:pos="2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(1) Subject to the Act, these Articles and, where applicable, the rules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Act.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252730</wp:posOffset>
            </wp:positionV>
            <wp:extent cx="737235" cy="857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91" w:lineRule="auto"/>
        <w:tabs>
          <w:tab w:leader="none" w:pos="9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or ordinary shares shall be a prerequisite to the issuance of any shares of any class or series of the preferred shares authorized by and complying with the conditions of the Memorandum and Articles of Association.</w:t>
      </w:r>
    </w:p>
    <w:p>
      <w:pPr>
        <w:spacing w:after="0" w:line="166" w:lineRule="exact"/>
        <w:rPr>
          <w:rFonts w:ascii="Arial" w:cs="Arial" w:eastAsia="Arial" w:hAnsi="Arial"/>
          <w:sz w:val="16"/>
          <w:szCs w:val="16"/>
          <w:color w:val="auto"/>
        </w:rPr>
      </w:pPr>
    </w:p>
    <w:p>
      <w:pPr>
        <w:ind w:firstLine="656"/>
        <w:spacing w:after="0" w:line="342" w:lineRule="auto"/>
        <w:tabs>
          <w:tab w:leader="none" w:pos="91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123" w:lineRule="exact"/>
        <w:rPr>
          <w:rFonts w:ascii="Arial" w:cs="Arial" w:eastAsia="Arial" w:hAnsi="Arial"/>
          <w:sz w:val="16"/>
          <w:szCs w:val="16"/>
          <w:color w:val="auto"/>
        </w:rPr>
      </w:pPr>
    </w:p>
    <w:p>
      <w:pPr>
        <w:jc w:val="both"/>
        <w:ind w:firstLine="8"/>
        <w:spacing w:after="0" w:line="263"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spacing w:after="0" w:line="183" w:lineRule="exact"/>
        <w:rPr>
          <w:rFonts w:ascii="Arial" w:cs="Arial" w:eastAsia="Arial" w:hAnsi="Arial"/>
          <w:sz w:val="18"/>
          <w:szCs w:val="18"/>
          <w:color w:val="auto"/>
        </w:rPr>
      </w:pPr>
    </w:p>
    <w:p>
      <w:pPr>
        <w:jc w:val="both"/>
        <w:ind w:firstLine="8"/>
        <w:spacing w:after="0" w:line="259"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186" w:lineRule="exact"/>
        <w:rPr>
          <w:rFonts w:ascii="Arial" w:cs="Arial" w:eastAsia="Arial" w:hAnsi="Arial"/>
          <w:sz w:val="18"/>
          <w:szCs w:val="18"/>
          <w:color w:val="auto"/>
        </w:rPr>
      </w:pPr>
    </w:p>
    <w:p>
      <w:pPr>
        <w:jc w:val="both"/>
        <w:ind w:firstLine="8"/>
        <w:spacing w:after="0" w:line="263"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 CERTIFICATES</w:t>
      </w:r>
    </w:p>
    <w:p>
      <w:pPr>
        <w:spacing w:after="0" w:line="225" w:lineRule="exact"/>
        <w:rPr>
          <w:sz w:val="20"/>
          <w:szCs w:val="20"/>
          <w:color w:val="auto"/>
        </w:rPr>
      </w:pPr>
    </w:p>
    <w:p>
      <w:pPr>
        <w:jc w:val="both"/>
        <w:ind w:firstLine="8"/>
        <w:spacing w:after="0" w:line="275" w:lineRule="auto"/>
        <w:tabs>
          <w:tab w:leader="none" w:pos="2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Every share certificate shall be issued under the Seal or a facsimile thereof or with the Seal printed thereon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257810</wp:posOffset>
            </wp:positionV>
            <wp:extent cx="737235" cy="857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8" w:firstLine="8"/>
        <w:spacing w:after="0" w:line="277" w:lineRule="auto"/>
        <w:tabs>
          <w:tab w:leader="none" w:pos="2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(1) In the case of a share held jointly by several persons, the Company shall not be bound to issue more than one certificate therefor and delivery of a certificate to one of several joint holders shall be sufficient delivery to all such holders.</w:t>
      </w:r>
    </w:p>
    <w:p>
      <w:pPr>
        <w:spacing w:after="0" w:line="170" w:lineRule="exact"/>
        <w:rPr>
          <w:rFonts w:ascii="Arial" w:cs="Arial" w:eastAsia="Arial" w:hAnsi="Arial"/>
          <w:sz w:val="18"/>
          <w:szCs w:val="18"/>
          <w:color w:val="auto"/>
        </w:rPr>
      </w:pPr>
    </w:p>
    <w:p>
      <w:pPr>
        <w:jc w:val="both"/>
        <w:ind w:left="-8" w:firstLine="656"/>
        <w:spacing w:after="0" w:line="263" w:lineRule="auto"/>
        <w:tabs>
          <w:tab w:leader="none" w:pos="9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183" w:lineRule="exact"/>
        <w:rPr>
          <w:rFonts w:ascii="Arial" w:cs="Arial" w:eastAsia="Arial" w:hAnsi="Arial"/>
          <w:sz w:val="18"/>
          <w:szCs w:val="18"/>
          <w:color w:val="auto"/>
        </w:rPr>
      </w:pPr>
    </w:p>
    <w:p>
      <w:pPr>
        <w:jc w:val="both"/>
        <w:ind w:left="-8" w:firstLine="8"/>
        <w:spacing w:after="0" w:line="263" w:lineRule="auto"/>
        <w:tabs>
          <w:tab w:leader="none" w:pos="2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183" w:lineRule="exact"/>
        <w:rPr>
          <w:rFonts w:ascii="Arial" w:cs="Arial" w:eastAsia="Arial" w:hAnsi="Arial"/>
          <w:sz w:val="18"/>
          <w:szCs w:val="18"/>
          <w:color w:val="auto"/>
        </w:rPr>
      </w:pPr>
    </w:p>
    <w:p>
      <w:pPr>
        <w:jc w:val="both"/>
        <w:ind w:left="-8" w:firstLine="8"/>
        <w:spacing w:after="0" w:line="263"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83" w:lineRule="exact"/>
        <w:rPr>
          <w:rFonts w:ascii="Arial" w:cs="Arial" w:eastAsia="Arial" w:hAnsi="Arial"/>
          <w:sz w:val="18"/>
          <w:szCs w:val="18"/>
          <w:color w:val="auto"/>
        </w:rPr>
      </w:pPr>
    </w:p>
    <w:p>
      <w:pPr>
        <w:jc w:val="both"/>
        <w:ind w:left="-8" w:firstLine="8"/>
        <w:spacing w:after="0" w:line="259" w:lineRule="auto"/>
        <w:tabs>
          <w:tab w:leader="none" w:pos="2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86" w:lineRule="exact"/>
        <w:rPr>
          <w:rFonts w:ascii="Arial" w:cs="Arial" w:eastAsia="Arial" w:hAnsi="Arial"/>
          <w:sz w:val="18"/>
          <w:szCs w:val="18"/>
          <w:color w:val="auto"/>
        </w:rPr>
      </w:pPr>
    </w:p>
    <w:p>
      <w:pPr>
        <w:ind w:left="-8" w:firstLine="656"/>
        <w:spacing w:after="0" w:line="277" w:lineRule="auto"/>
        <w:tabs>
          <w:tab w:leader="none" w:pos="8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170" w:lineRule="exact"/>
        <w:rPr>
          <w:rFonts w:ascii="Arial" w:cs="Arial" w:eastAsia="Arial" w:hAnsi="Arial"/>
          <w:sz w:val="18"/>
          <w:szCs w:val="18"/>
          <w:color w:val="auto"/>
        </w:rPr>
      </w:pPr>
    </w:p>
    <w:p>
      <w:pPr>
        <w:jc w:val="both"/>
        <w:ind w:left="-8" w:firstLine="8"/>
        <w:spacing w:after="0" w:line="255"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Member upon request and on payment of such fee as the Company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268605</wp:posOffset>
            </wp:positionV>
            <wp:extent cx="737235" cy="857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u w:val="single" w:color="auto"/>
          <w:color w:val="auto"/>
        </w:rPr>
        <w:t>LIEN</w:t>
      </w:r>
    </w:p>
    <w:p>
      <w:pPr>
        <w:spacing w:after="0" w:line="225" w:lineRule="exact"/>
        <w:rPr>
          <w:sz w:val="20"/>
          <w:szCs w:val="20"/>
          <w:color w:val="auto"/>
        </w:rPr>
      </w:pPr>
    </w:p>
    <w:p>
      <w:pPr>
        <w:jc w:val="both"/>
        <w:ind w:firstLine="8"/>
        <w:spacing w:after="0" w:line="271" w:lineRule="auto"/>
        <w:tabs>
          <w:tab w:leader="none" w:pos="28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arrived or not, and notwithstanding that the same are joint debts or liabilities of such Member or his estate and any other person, whether a Member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spacing w:after="0" w:line="178" w:lineRule="exact"/>
        <w:rPr>
          <w:rFonts w:ascii="Arial" w:cs="Arial" w:eastAsia="Arial" w:hAnsi="Arial"/>
          <w:sz w:val="17"/>
          <w:szCs w:val="17"/>
          <w:color w:val="auto"/>
        </w:rPr>
      </w:pPr>
    </w:p>
    <w:p>
      <w:pPr>
        <w:jc w:val="both"/>
        <w:ind w:firstLine="8"/>
        <w:spacing w:after="0" w:line="296" w:lineRule="auto"/>
        <w:tabs>
          <w:tab w:leader="none" w:pos="2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161" w:lineRule="exact"/>
        <w:rPr>
          <w:rFonts w:ascii="Arial" w:cs="Arial" w:eastAsia="Arial" w:hAnsi="Arial"/>
          <w:sz w:val="16"/>
          <w:szCs w:val="16"/>
          <w:color w:val="auto"/>
        </w:rPr>
      </w:pPr>
    </w:p>
    <w:p>
      <w:pPr>
        <w:jc w:val="both"/>
        <w:ind w:firstLine="8"/>
        <w:spacing w:after="0" w:line="255" w:lineRule="auto"/>
        <w:tabs>
          <w:tab w:leader="none" w:pos="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CALLS ON SHARES</w:t>
      </w:r>
    </w:p>
    <w:p>
      <w:pPr>
        <w:spacing w:after="0" w:line="225" w:lineRule="exact"/>
        <w:rPr>
          <w:sz w:val="20"/>
          <w:szCs w:val="20"/>
          <w:color w:val="auto"/>
        </w:rPr>
      </w:pPr>
    </w:p>
    <w:p>
      <w:pPr>
        <w:jc w:val="both"/>
        <w:ind w:firstLine="8"/>
        <w:spacing w:after="0" w:line="257"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these Articles and to the terms of allotment, the Board may from time to time make calls upon the Members in respect of any moneys unpaid on their shares (whether on account of the nominal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265430</wp:posOffset>
            </wp:positionV>
            <wp:extent cx="737235" cy="857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8" w:right="20" w:firstLine="8"/>
        <w:spacing w:after="0" w:line="277" w:lineRule="auto"/>
        <w:tabs>
          <w:tab w:leader="none" w:pos="2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Board authorising the call was passed and may be made payable either in one lump sum or by instalments.</w:t>
      </w:r>
    </w:p>
    <w:p>
      <w:pPr>
        <w:spacing w:after="0" w:line="170" w:lineRule="exact"/>
        <w:rPr>
          <w:rFonts w:ascii="Arial" w:cs="Arial" w:eastAsia="Arial" w:hAnsi="Arial"/>
          <w:sz w:val="18"/>
          <w:szCs w:val="18"/>
          <w:color w:val="auto"/>
        </w:rPr>
      </w:pPr>
    </w:p>
    <w:p>
      <w:pPr>
        <w:jc w:val="both"/>
        <w:ind w:left="-8" w:firstLine="8"/>
        <w:spacing w:after="0" w:line="263" w:lineRule="auto"/>
        <w:tabs>
          <w:tab w:leader="none" w:pos="2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183" w:lineRule="exact"/>
        <w:rPr>
          <w:rFonts w:ascii="Arial" w:cs="Arial" w:eastAsia="Arial" w:hAnsi="Arial"/>
          <w:sz w:val="18"/>
          <w:szCs w:val="18"/>
          <w:color w:val="auto"/>
        </w:rPr>
      </w:pPr>
    </w:p>
    <w:p>
      <w:pPr>
        <w:jc w:val="both"/>
        <w:ind w:left="-8" w:firstLine="8"/>
        <w:spacing w:after="0" w:line="286" w:lineRule="auto"/>
        <w:tabs>
          <w:tab w:leader="none" w:pos="26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wholly or in part.</w:t>
      </w:r>
    </w:p>
    <w:p>
      <w:pPr>
        <w:spacing w:after="0" w:line="165" w:lineRule="exact"/>
        <w:rPr>
          <w:rFonts w:ascii="Arial" w:cs="Arial" w:eastAsia="Arial" w:hAnsi="Arial"/>
          <w:sz w:val="17"/>
          <w:szCs w:val="17"/>
          <w:color w:val="auto"/>
        </w:rPr>
      </w:pPr>
    </w:p>
    <w:p>
      <w:pPr>
        <w:jc w:val="both"/>
        <w:ind w:left="-8" w:firstLine="8"/>
        <w:spacing w:after="0" w:line="286" w:lineRule="auto"/>
        <w:tabs>
          <w:tab w:leader="none" w:pos="2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spacing w:after="0" w:line="165" w:lineRule="exact"/>
        <w:rPr>
          <w:rFonts w:ascii="Arial" w:cs="Arial" w:eastAsia="Arial" w:hAnsi="Arial"/>
          <w:sz w:val="17"/>
          <w:szCs w:val="17"/>
          <w:color w:val="auto"/>
        </w:rPr>
      </w:pPr>
    </w:p>
    <w:p>
      <w:pPr>
        <w:jc w:val="both"/>
        <w:ind w:left="-8" w:firstLine="8"/>
        <w:spacing w:after="0" w:line="257" w:lineRule="auto"/>
        <w:tabs>
          <w:tab w:leader="none" w:pos="2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87" w:lineRule="exact"/>
        <w:rPr>
          <w:rFonts w:ascii="Arial" w:cs="Arial" w:eastAsia="Arial" w:hAnsi="Arial"/>
          <w:sz w:val="18"/>
          <w:szCs w:val="18"/>
          <w:color w:val="auto"/>
        </w:rPr>
      </w:pPr>
    </w:p>
    <w:p>
      <w:pPr>
        <w:jc w:val="both"/>
        <w:ind w:left="-8" w:firstLine="8"/>
        <w:spacing w:after="0" w:line="263" w:lineRule="auto"/>
        <w:tabs>
          <w:tab w:leader="none" w:pos="2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183" w:lineRule="exact"/>
        <w:rPr>
          <w:rFonts w:ascii="Arial" w:cs="Arial" w:eastAsia="Arial" w:hAnsi="Arial"/>
          <w:sz w:val="18"/>
          <w:szCs w:val="18"/>
          <w:color w:val="auto"/>
        </w:rPr>
      </w:pPr>
    </w:p>
    <w:p>
      <w:pPr>
        <w:ind w:left="272" w:hanging="272"/>
        <w:spacing w:after="0"/>
        <w:tabs>
          <w:tab w:leader="none" w:pos="272"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the issue of shares the Board may differentiate between the allottees or holders as to the amount of calls to be paid and the times of payment.</w:t>
      </w:r>
    </w:p>
    <w:p>
      <w:pPr>
        <w:spacing w:after="0" w:line="236" w:lineRule="exact"/>
        <w:rPr>
          <w:rFonts w:ascii="Arial" w:cs="Arial" w:eastAsia="Arial" w:hAnsi="Arial"/>
          <w:sz w:val="17"/>
          <w:szCs w:val="17"/>
          <w:color w:val="auto"/>
        </w:rPr>
      </w:pPr>
    </w:p>
    <w:p>
      <w:pPr>
        <w:jc w:val="both"/>
        <w:ind w:left="-8" w:firstLine="8"/>
        <w:spacing w:after="0" w:line="273" w:lineRule="auto"/>
        <w:tabs>
          <w:tab w:leader="none" w:pos="2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(1)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259080</wp:posOffset>
            </wp:positionV>
            <wp:extent cx="737235" cy="857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ind w:right="20" w:firstLine="8"/>
        <w:spacing w:after="0" w:line="277" w:lineRule="auto"/>
        <w:tabs>
          <w:tab w:leader="none" w:pos="2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(1) If a call remains unpaid after it has become due and payable the Board may give to the person from whom it is due not less than fourteen (14) clear days’ Notice: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requiring payment of the amount unpaid together with any interest which may have accrued and which may still accrue up to the date of actual payment;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stating that if the Notice is not complied with the shares on which the call was made will be liable to be forfeited.</w:t>
      </w:r>
    </w:p>
    <w:p>
      <w:pPr>
        <w:spacing w:after="0" w:line="225" w:lineRule="exact"/>
        <w:rPr>
          <w:sz w:val="20"/>
          <w:szCs w:val="20"/>
          <w:color w:val="auto"/>
        </w:rPr>
      </w:pPr>
    </w:p>
    <w:p>
      <w:pPr>
        <w:jc w:val="both"/>
        <w:ind w:firstLine="656"/>
        <w:spacing w:after="0" w:line="286" w:lineRule="auto"/>
        <w:tabs>
          <w:tab w:leader="none" w:pos="923"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165" w:lineRule="exact"/>
        <w:rPr>
          <w:rFonts w:ascii="Arial" w:cs="Arial" w:eastAsia="Arial" w:hAnsi="Arial"/>
          <w:sz w:val="17"/>
          <w:szCs w:val="17"/>
          <w:color w:val="auto"/>
        </w:rPr>
      </w:pPr>
    </w:p>
    <w:p>
      <w:pPr>
        <w:ind w:firstLine="8"/>
        <w:spacing w:after="0" w:line="277" w:lineRule="auto"/>
        <w:tabs>
          <w:tab w:leader="none" w:pos="2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170" w:lineRule="exact"/>
        <w:rPr>
          <w:rFonts w:ascii="Arial" w:cs="Arial" w:eastAsia="Arial" w:hAnsi="Arial"/>
          <w:sz w:val="18"/>
          <w:szCs w:val="18"/>
          <w:color w:val="auto"/>
        </w:rPr>
      </w:pPr>
    </w:p>
    <w:p>
      <w:pPr>
        <w:ind w:firstLine="8"/>
        <w:spacing w:after="0" w:line="277" w:lineRule="auto"/>
        <w:tabs>
          <w:tab w:leader="none" w:pos="2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may accept the surrender of any share liable to be forfeited hereunder and, in such case, references in these Articles to forfeiture will include surrender.</w:t>
      </w:r>
    </w:p>
    <w:p>
      <w:pPr>
        <w:spacing w:after="0" w:line="170" w:lineRule="exact"/>
        <w:rPr>
          <w:rFonts w:ascii="Arial" w:cs="Arial" w:eastAsia="Arial" w:hAnsi="Arial"/>
          <w:sz w:val="18"/>
          <w:szCs w:val="18"/>
          <w:color w:val="auto"/>
        </w:rPr>
      </w:pPr>
    </w:p>
    <w:p>
      <w:pPr>
        <w:jc w:val="both"/>
        <w:ind w:firstLine="8"/>
        <w:spacing w:after="0" w:line="263"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183" w:lineRule="exact"/>
        <w:rPr>
          <w:rFonts w:ascii="Arial" w:cs="Arial" w:eastAsia="Arial" w:hAnsi="Arial"/>
          <w:sz w:val="18"/>
          <w:szCs w:val="18"/>
          <w:color w:val="auto"/>
        </w:rPr>
      </w:pPr>
    </w:p>
    <w:p>
      <w:pPr>
        <w:jc w:val="both"/>
        <w:ind w:firstLine="8"/>
        <w:spacing w:after="0" w:line="270" w:lineRule="auto"/>
        <w:tabs>
          <w:tab w:leader="none" w:pos="2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Directors shall in their discretion so require) interest thereon from the date of forfeiture until payment at such rate (not exceeding twenty per cent. (20%) per annum) as the Board determines.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260985</wp:posOffset>
            </wp:positionV>
            <wp:extent cx="737235" cy="8572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left="-8" w:firstLine="8"/>
        <w:spacing w:after="0" w:line="291" w:lineRule="auto"/>
        <w:tabs>
          <w:tab w:leader="none" w:pos="2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166" w:lineRule="exact"/>
        <w:rPr>
          <w:rFonts w:ascii="Arial" w:cs="Arial" w:eastAsia="Arial" w:hAnsi="Arial"/>
          <w:sz w:val="16"/>
          <w:szCs w:val="16"/>
          <w:color w:val="auto"/>
        </w:rPr>
      </w:pPr>
    </w:p>
    <w:p>
      <w:pPr>
        <w:jc w:val="both"/>
        <w:ind w:left="-8" w:right="20" w:firstLine="8"/>
        <w:spacing w:after="0" w:line="263" w:lineRule="auto"/>
        <w:tabs>
          <w:tab w:leader="none" w:pos="2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183" w:lineRule="exact"/>
        <w:rPr>
          <w:rFonts w:ascii="Arial" w:cs="Arial" w:eastAsia="Arial" w:hAnsi="Arial"/>
          <w:sz w:val="18"/>
          <w:szCs w:val="18"/>
          <w:color w:val="auto"/>
        </w:rPr>
      </w:pPr>
    </w:p>
    <w:p>
      <w:pPr>
        <w:ind w:left="272" w:hanging="272"/>
        <w:spacing w:after="0"/>
        <w:tabs>
          <w:tab w:leader="none" w:pos="2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forfeiture of a share shall not prejudice the right of the Company to any call already made or instalment payable thereon.</w:t>
      </w:r>
    </w:p>
    <w:p>
      <w:pPr>
        <w:spacing w:after="0" w:line="225" w:lineRule="exact"/>
        <w:rPr>
          <w:rFonts w:ascii="Arial" w:cs="Arial" w:eastAsia="Arial" w:hAnsi="Arial"/>
          <w:sz w:val="18"/>
          <w:szCs w:val="18"/>
          <w:color w:val="auto"/>
        </w:rPr>
      </w:pPr>
    </w:p>
    <w:p>
      <w:pPr>
        <w:jc w:val="both"/>
        <w:ind w:left="-8" w:firstLine="8"/>
        <w:spacing w:after="0" w:line="263" w:lineRule="auto"/>
        <w:tabs>
          <w:tab w:leader="none" w:pos="2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REGISTER OF MEMBERS</w:t>
      </w:r>
    </w:p>
    <w:p>
      <w:pPr>
        <w:spacing w:after="0" w:line="225" w:lineRule="exact"/>
        <w:rPr>
          <w:sz w:val="20"/>
          <w:szCs w:val="20"/>
          <w:color w:val="auto"/>
        </w:rPr>
      </w:pPr>
    </w:p>
    <w:p>
      <w:pPr>
        <w:ind w:left="272" w:hanging="272"/>
        <w:spacing w:after="0"/>
        <w:tabs>
          <w:tab w:leader="none" w:pos="2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(1) The Company shall keep in one or more books a Register of its Members and shall enter therein the following particulars, that is to say:</w:t>
      </w:r>
    </w:p>
    <w:p>
      <w:pPr>
        <w:spacing w:after="0" w:line="236"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name and address of each Member, the number and class of shares held by him and the amount paid or agreed to be considered as paid on such shares;</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date on which each person was entered in the Register; and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8" w:right="20" w:firstLine="656"/>
        <w:spacing w:after="0" w:line="308" w:lineRule="auto"/>
        <w:tabs>
          <w:tab w:leader="none" w:pos="9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239395</wp:posOffset>
            </wp:positionV>
            <wp:extent cx="737235" cy="857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4" w:name="page25"/>
    <w:bookmarkEnd w:id="24"/>
    <w:p>
      <w:pPr>
        <w:jc w:val="both"/>
        <w:ind w:firstLine="8"/>
        <w:spacing w:after="0" w:line="296" w:lineRule="auto"/>
        <w:tabs>
          <w:tab w:leader="none" w:pos="29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Register and branch register of Members, as the case may be, shall be open to inspection for such times and on such days as the Board shall determine by Members without charge or by any other person, upon a maximum payment of HK$20 or such other sum specified by the Board, at the Office or Registration Office or such other place at which the Register is kept in accordance with the Act. The Register including any overseas or local or other branch register of Members may, after compliance with any notice requirement of the Designated Stock Exchange, be closed at such times or for such periods not exceeding in the whole thirty (30) days in each year as the Board may determine and either generally or in respect of any class of shares.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RECORD DATES</w:t>
      </w:r>
    </w:p>
    <w:p>
      <w:pPr>
        <w:spacing w:after="0" w:line="225" w:lineRule="exact"/>
        <w:rPr>
          <w:sz w:val="20"/>
          <w:szCs w:val="20"/>
          <w:color w:val="auto"/>
        </w:rPr>
      </w:pPr>
    </w:p>
    <w:p>
      <w:pPr>
        <w:jc w:val="both"/>
        <w:ind w:firstLine="8"/>
        <w:spacing w:after="0" w:line="275" w:lineRule="auto"/>
        <w:tabs>
          <w:tab w:leader="none" w:pos="278"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17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If corporate action without a general meeting is to be taken, the record date for determining the Members entitled to express consent to such corporate action in writing, when no prior action by the Board is necessary, shall be the first date on which a signed written consent setting forth the action taken or proposed to be taken is delivered to the Company by delivery to its head office. The record date for determining the Members for any other purpose shall be at the close of business on the day on which the Board adopts the resolution relating thereto.</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determination of the Members of record entitled to notice of or to vote at a meeting of the Members shall apply to any adjournment of the meeting; provided, however, that the Board may fix a new record date for the adjourned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TRANSFER OF SHARES</w:t>
      </w:r>
    </w:p>
    <w:p>
      <w:pPr>
        <w:spacing w:after="0" w:line="225" w:lineRule="exact"/>
        <w:rPr>
          <w:sz w:val="20"/>
          <w:szCs w:val="20"/>
          <w:color w:val="auto"/>
        </w:rPr>
      </w:pPr>
    </w:p>
    <w:p>
      <w:pPr>
        <w:jc w:val="both"/>
        <w:ind w:firstLine="8"/>
        <w:spacing w:after="0" w:line="259" w:lineRule="auto"/>
        <w:tabs>
          <w:tab w:leader="none" w:pos="2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264795</wp:posOffset>
            </wp:positionV>
            <wp:extent cx="737235" cy="8572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left="-8" w:firstLine="8"/>
        <w:spacing w:after="0" w:line="255" w:lineRule="auto"/>
        <w:tabs>
          <w:tab w:leader="none" w:pos="2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92" w:lineRule="exact"/>
        <w:rPr>
          <w:rFonts w:ascii="Arial" w:cs="Arial" w:eastAsia="Arial" w:hAnsi="Arial"/>
          <w:sz w:val="18"/>
          <w:szCs w:val="18"/>
          <w:color w:val="auto"/>
        </w:rPr>
      </w:pPr>
    </w:p>
    <w:p>
      <w:pPr>
        <w:jc w:val="both"/>
        <w:ind w:left="-8" w:firstLine="8"/>
        <w:spacing w:after="0" w:line="279" w:lineRule="auto"/>
        <w:tabs>
          <w:tab w:leader="none" w:pos="264" w:val="left"/>
        </w:tabs>
        <w:numPr>
          <w:ilvl w:val="0"/>
          <w:numId w:val="32"/>
        </w:numPr>
        <w:rPr>
          <w:rFonts w:ascii="Arial" w:cs="Arial" w:eastAsia="Arial" w:hAnsi="Arial"/>
          <w:sz w:val="17"/>
          <w:szCs w:val="17"/>
          <w:color w:val="auto"/>
        </w:rPr>
      </w:pPr>
      <w:r>
        <w:rPr>
          <w:rFonts w:ascii="Arial" w:cs="Arial" w:eastAsia="Arial" w:hAnsi="Arial"/>
          <w:sz w:val="17"/>
          <w:szCs w:val="17"/>
          <w:color w:val="auto"/>
        </w:rPr>
        <w:t>(1) 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171" w:lineRule="exact"/>
        <w:rPr>
          <w:rFonts w:ascii="Arial" w:cs="Arial" w:eastAsia="Arial" w:hAnsi="Arial"/>
          <w:sz w:val="17"/>
          <w:szCs w:val="17"/>
          <w:color w:val="auto"/>
        </w:rPr>
      </w:pPr>
    </w:p>
    <w:p>
      <w:pPr>
        <w:jc w:val="both"/>
        <w:ind w:left="-8" w:firstLine="656"/>
        <w:spacing w:after="0" w:line="286" w:lineRule="auto"/>
        <w:tabs>
          <w:tab w:leader="none" w:pos="908"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165" w:lineRule="exact"/>
        <w:rPr>
          <w:rFonts w:ascii="Arial" w:cs="Arial" w:eastAsia="Arial" w:hAnsi="Arial"/>
          <w:sz w:val="17"/>
          <w:szCs w:val="17"/>
          <w:color w:val="auto"/>
        </w:rPr>
      </w:pPr>
    </w:p>
    <w:p>
      <w:pPr>
        <w:jc w:val="both"/>
        <w:ind w:left="-8" w:firstLine="656"/>
        <w:spacing w:after="0" w:line="255" w:lineRule="auto"/>
        <w:tabs>
          <w:tab w:leader="none" w:pos="9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spacing w:after="0" w:line="192" w:lineRule="exact"/>
        <w:rPr>
          <w:rFonts w:ascii="Arial" w:cs="Arial" w:eastAsia="Arial" w:hAnsi="Arial"/>
          <w:sz w:val="18"/>
          <w:szCs w:val="18"/>
          <w:color w:val="auto"/>
        </w:rPr>
      </w:pPr>
    </w:p>
    <w:p>
      <w:pPr>
        <w:ind w:left="272" w:hanging="272"/>
        <w:spacing w:after="0"/>
        <w:tabs>
          <w:tab w:leader="none" w:pos="2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Without limiting the generality of the last preceding Article, the Board may decline to recognise any instrument of transfer unless:-</w:t>
      </w:r>
    </w:p>
    <w:p>
      <w:pPr>
        <w:spacing w:after="0" w:line="225" w:lineRule="exact"/>
        <w:rPr>
          <w:sz w:val="20"/>
          <w:szCs w:val="20"/>
          <w:color w:val="auto"/>
        </w:rPr>
      </w:pPr>
    </w:p>
    <w:p>
      <w:pPr>
        <w:ind w:left="1292" w:hanging="644"/>
        <w:spacing w:after="0" w:line="277" w:lineRule="auto"/>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may from time to time require is paid to the Company in respect thereof;</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186" w:lineRule="exact"/>
        <w:rPr>
          <w:rFonts w:ascii="Arial" w:cs="Arial" w:eastAsia="Arial" w:hAnsi="Arial"/>
          <w:sz w:val="18"/>
          <w:szCs w:val="18"/>
          <w:color w:val="auto"/>
        </w:rPr>
      </w:pPr>
    </w:p>
    <w:p>
      <w:pPr>
        <w:ind w:left="1292" w:hanging="644"/>
        <w:spacing w:after="0"/>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applicable, the instrument of transfer is duly and properly stamped.</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2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Board refuses to register a transfer of any share, it shall, within three months after the date on which the transfer was lodged with the Company, send to each of the transferor and transferee notice of the refusal.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254635</wp:posOffset>
            </wp:positionV>
            <wp:extent cx="737235" cy="8572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6" w:name="page27"/>
    <w:bookmarkEnd w:id="26"/>
    <w:p>
      <w:pPr>
        <w:ind w:firstLine="8"/>
        <w:spacing w:after="0" w:line="308" w:lineRule="auto"/>
        <w:tabs>
          <w:tab w:leader="none" w:pos="2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registration of transfers of shares or of any class of shares may, after compliance with any notice requirement of the Designated Stock Exchange, be suspended at such times and for such periods (not exceeding in the whole thirty (30) days in any year) as the Board may determine.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TRANSMISSION OF SHARES</w:t>
      </w:r>
    </w:p>
    <w:p>
      <w:pPr>
        <w:spacing w:after="0" w:line="225" w:lineRule="exact"/>
        <w:rPr>
          <w:sz w:val="20"/>
          <w:szCs w:val="20"/>
          <w:color w:val="auto"/>
        </w:rPr>
      </w:pPr>
    </w:p>
    <w:p>
      <w:pPr>
        <w:jc w:val="both"/>
        <w:ind w:firstLine="8"/>
        <w:spacing w:after="0" w:line="311" w:lineRule="auto"/>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148" w:lineRule="exact"/>
        <w:rPr>
          <w:rFonts w:ascii="Arial" w:cs="Arial" w:eastAsia="Arial" w:hAnsi="Arial"/>
          <w:sz w:val="16"/>
          <w:szCs w:val="16"/>
          <w:color w:val="auto"/>
        </w:rPr>
      </w:pPr>
    </w:p>
    <w:p>
      <w:pPr>
        <w:jc w:val="both"/>
        <w:ind w:firstLine="8"/>
        <w:spacing w:after="0" w:line="273" w:lineRule="auto"/>
        <w:tabs>
          <w:tab w:leader="none" w:pos="27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77" w:lineRule="exact"/>
        <w:rPr>
          <w:rFonts w:ascii="Arial" w:cs="Arial" w:eastAsia="Arial" w:hAnsi="Arial"/>
          <w:sz w:val="17"/>
          <w:szCs w:val="17"/>
          <w:color w:val="auto"/>
        </w:rPr>
      </w:pPr>
    </w:p>
    <w:p>
      <w:pPr>
        <w:jc w:val="both"/>
        <w:ind w:right="20" w:firstLine="8"/>
        <w:spacing w:after="0" w:line="279" w:lineRule="auto"/>
        <w:tabs>
          <w:tab w:leader="none" w:pos="2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76(2) being met, such a person may vote at meetings.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UNTRACEABLE MEMBERS</w:t>
      </w:r>
    </w:p>
    <w:p>
      <w:pPr>
        <w:spacing w:after="0" w:line="225" w:lineRule="exact"/>
        <w:rPr>
          <w:sz w:val="20"/>
          <w:szCs w:val="20"/>
          <w:color w:val="auto"/>
        </w:rPr>
      </w:pPr>
    </w:p>
    <w:p>
      <w:pPr>
        <w:jc w:val="both"/>
        <w:ind w:firstLine="8"/>
        <w:spacing w:after="0" w:line="259" w:lineRule="auto"/>
        <w:tabs>
          <w:tab w:leader="none" w:pos="3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Without prejudice to the rights of the Company under paragraph (2) of this Article,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86" w:lineRule="exact"/>
        <w:rPr>
          <w:rFonts w:ascii="Arial" w:cs="Arial" w:eastAsia="Arial" w:hAnsi="Arial"/>
          <w:sz w:val="18"/>
          <w:szCs w:val="18"/>
          <w:color w:val="auto"/>
        </w:rPr>
      </w:pPr>
    </w:p>
    <w:p>
      <w:pPr>
        <w:ind w:firstLine="656"/>
        <w:spacing w:after="0" w:line="277" w:lineRule="auto"/>
        <w:tabs>
          <w:tab w:leader="none" w:pos="90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shall have the power to sell, in such manner as the Board thinks fit, any shares of a Member who is untraceable, but no such sale shall be made unless:</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have remained uncashed;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83"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(3) months or such shorter period as may be allowed by the Designated Stock Exchange has elapsed since the date of such advertisement.</w:t>
      </w:r>
    </w:p>
    <w:p>
      <w:pPr>
        <w:spacing w:after="0" w:line="17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70" w:lineRule="exact"/>
        <w:rPr>
          <w:sz w:val="20"/>
          <w:szCs w:val="20"/>
          <w:color w:val="auto"/>
        </w:rPr>
      </w:pPr>
    </w:p>
    <w:p>
      <w:pPr>
        <w:jc w:val="both"/>
        <w:ind w:firstLine="656"/>
        <w:spacing w:after="0" w:line="271" w:lineRule="auto"/>
        <w:tabs>
          <w:tab w:leader="none" w:pos="9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259715</wp:posOffset>
            </wp:positionV>
            <wp:extent cx="737235" cy="8572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u w:val="single" w:color="auto"/>
          <w:color w:val="auto"/>
        </w:rPr>
        <w:t>GENERAL MEETINGS</w:t>
      </w:r>
    </w:p>
    <w:p>
      <w:pPr>
        <w:spacing w:after="0" w:line="225" w:lineRule="exact"/>
        <w:rPr>
          <w:sz w:val="20"/>
          <w:szCs w:val="20"/>
          <w:color w:val="auto"/>
        </w:rPr>
      </w:pPr>
    </w:p>
    <w:p>
      <w:pPr>
        <w:ind w:firstLine="8"/>
        <w:spacing w:after="0" w:line="277" w:lineRule="auto"/>
        <w:tabs>
          <w:tab w:leader="none" w:pos="2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may (but shall not be obligated to) hold an annual general meeting in each year, subject to the Statutes and the rules of the Designated Stock Exchange, at such time and place as may be determined by the Board.</w:t>
      </w:r>
    </w:p>
    <w:p>
      <w:pPr>
        <w:spacing w:after="0" w:line="170" w:lineRule="exact"/>
        <w:rPr>
          <w:rFonts w:ascii="Arial" w:cs="Arial" w:eastAsia="Arial" w:hAnsi="Arial"/>
          <w:sz w:val="18"/>
          <w:szCs w:val="18"/>
          <w:color w:val="auto"/>
        </w:rPr>
      </w:pPr>
    </w:p>
    <w:p>
      <w:pPr>
        <w:jc w:val="both"/>
        <w:ind w:firstLine="8"/>
        <w:spacing w:after="0" w:line="311" w:lineRule="auto"/>
        <w:tabs>
          <w:tab w:leader="none" w:pos="294"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general meeting, other than an annual general meeting, shall be called an extraordinary general meeting. All general meetings (including an annual general meeting, any adjourned meeting or postponed meeting) may be held as a physical meeting in any part of the world and at one or more locations as provided in Article 65A, as a hybrid meeting or as an electronic meeting, as may be determined by the Board in its absolute discretion.</w:t>
      </w:r>
    </w:p>
    <w:p>
      <w:pPr>
        <w:spacing w:after="0" w:line="148" w:lineRule="exact"/>
        <w:rPr>
          <w:rFonts w:ascii="Arial" w:cs="Arial" w:eastAsia="Arial" w:hAnsi="Arial"/>
          <w:sz w:val="16"/>
          <w:szCs w:val="16"/>
          <w:color w:val="auto"/>
        </w:rPr>
      </w:pPr>
    </w:p>
    <w:p>
      <w:pPr>
        <w:jc w:val="both"/>
        <w:ind w:firstLine="8"/>
        <w:spacing w:after="0" w:line="271" w:lineRule="auto"/>
        <w:tabs>
          <w:tab w:leader="none" w:pos="2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majority of the Board or the Chairman of the Board may call extraordinary general meetings, which extraordinary general meetings shall be held at such times and locations (as permitted hereby) as such person or persons shall determine. Any one or more Members holding not less than two-thirds of the votes attaching to the total issued and paid up share capital of the Company at the date of deposit of the requisition shall at all times have the right, by written requisition to the Board or the Secretary of the Company,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convene a physical meeting at only one location which will be the Principal Meeting Place, and all reasonable expenses incurred by the requisitionist(s) as a result of the failure of the Board shall be reimbursed to the requisitionist(s) by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GENERAL MEETINGS</w:t>
      </w:r>
    </w:p>
    <w:p>
      <w:pPr>
        <w:spacing w:after="0" w:line="225" w:lineRule="exact"/>
        <w:rPr>
          <w:sz w:val="20"/>
          <w:szCs w:val="20"/>
          <w:color w:val="auto"/>
        </w:rPr>
      </w:pPr>
    </w:p>
    <w:p>
      <w:pPr>
        <w:ind w:firstLine="8"/>
        <w:spacing w:after="0" w:line="277" w:lineRule="auto"/>
        <w:tabs>
          <w:tab w:leader="none" w:pos="2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(1) An annual general meeting and any extraordinary general meeting may be called by not less than ten (10) clear days’ Notice but a general meeting may be called by shorter notice, subject to the Act, if it is so agreed: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entitled to attend and vote thereat; and</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 the case of any other meeting, by a majority in number of the Members having the right to attend and vote at the meeting, being a majority together holding not less than ninety-five per cent. (95%) in nominal value of the issued shares giving that right.</w:t>
      </w:r>
    </w:p>
    <w:p>
      <w:pPr>
        <w:spacing w:after="0" w:line="146" w:lineRule="exact"/>
        <w:rPr>
          <w:sz w:val="20"/>
          <w:szCs w:val="20"/>
          <w:color w:val="auto"/>
        </w:rPr>
      </w:pPr>
    </w:p>
    <w:p>
      <w:pPr>
        <w:jc w:val="both"/>
        <w:ind w:firstLine="656"/>
        <w:spacing w:after="0" w:line="270" w:lineRule="auto"/>
        <w:tabs>
          <w:tab w:leader="none" w:pos="91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Notice shall specify (a) the time and date of the meeting, (b) save for an electronic meeting, the place of the meeting and if there is more than one meeting location as determined by the Board pursuant to Article 65A, the principal place of the meeting (the “</w:t>
      </w:r>
      <w:r>
        <w:rPr>
          <w:rFonts w:ascii="Arial" w:cs="Arial" w:eastAsia="Arial" w:hAnsi="Arial"/>
          <w:sz w:val="17"/>
          <w:szCs w:val="17"/>
          <w:b w:val="1"/>
          <w:bCs w:val="1"/>
          <w:color w:val="auto"/>
        </w:rPr>
        <w:t>Principal Meeting Place</w:t>
      </w:r>
      <w:r>
        <w:rPr>
          <w:rFonts w:ascii="Arial" w:cs="Arial" w:eastAsia="Arial" w:hAnsi="Arial"/>
          <w:sz w:val="17"/>
          <w:szCs w:val="17"/>
          <w:color w:val="auto"/>
        </w:rPr>
        <w:t>”), (c) if the general meeting is to be a hybrid meeting or an electronic meeting, the Notice shall include a statement to that effect and with details of the electronic facilities for attendance and participation by electronic means at the meeting or where such details will be made available by the Company prior to the meeting, and (d) particulars of resolutions to be considered at the meeting. In case of special business, the Notice shall also specify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and the Auditors.</w:t>
      </w:r>
    </w:p>
    <w:p>
      <w:pPr>
        <w:spacing w:after="0" w:line="180" w:lineRule="exact"/>
        <w:rPr>
          <w:rFonts w:ascii="Arial" w:cs="Arial" w:eastAsia="Arial" w:hAnsi="Arial"/>
          <w:sz w:val="17"/>
          <w:szCs w:val="17"/>
          <w:color w:val="auto"/>
        </w:rPr>
      </w:pPr>
    </w:p>
    <w:p>
      <w:pPr>
        <w:jc w:val="both"/>
        <w:ind w:firstLine="8"/>
        <w:spacing w:after="0" w:line="263"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PROCEEDINGS AT GENERAL MEETINGS</w:t>
      </w:r>
    </w:p>
    <w:p>
      <w:pPr>
        <w:spacing w:after="0" w:line="225" w:lineRule="exact"/>
        <w:rPr>
          <w:sz w:val="20"/>
          <w:szCs w:val="20"/>
          <w:color w:val="auto"/>
        </w:rPr>
      </w:pPr>
    </w:p>
    <w:p>
      <w:pPr>
        <w:jc w:val="both"/>
        <w:ind w:firstLine="8"/>
        <w:spacing w:after="0" w:line="279" w:lineRule="auto"/>
        <w:tabs>
          <w:tab w:leader="none" w:pos="2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 business other than the appointment of a chairman of a meeting shall be transacted at any general meeting unless a quorum is present at the commencement of the business</w:t>
      </w:r>
      <w:r>
        <w:rPr>
          <w:rFonts w:ascii="Arial" w:cs="Arial" w:eastAsia="Arial" w:hAnsi="Arial"/>
          <w:sz w:val="17"/>
          <w:szCs w:val="17"/>
          <w:b w:val="1"/>
          <w:bCs w:val="1"/>
          <w:color w:val="auto"/>
        </w:rPr>
        <w:t>.</w:t>
      </w:r>
      <w:r>
        <w:rPr>
          <w:rFonts w:ascii="Arial" w:cs="Arial" w:eastAsia="Arial" w:hAnsi="Arial"/>
          <w:sz w:val="17"/>
          <w:szCs w:val="17"/>
          <w:color w:val="auto"/>
        </w:rPr>
        <w:t xml:space="preserve"> At any general meeting of the Company, one or two (2) Members entitled to vote and present in person or by proxy or (in the case of a Member being a corporation) by its duly authorised representative representing not less than one-third in nominal value of all votes attaching to the total issued voting shares in the Company throughout the meeting shall form a quorum for all purposes.</w:t>
      </w:r>
    </w:p>
    <w:p>
      <w:pPr>
        <w:spacing w:after="0" w:line="171" w:lineRule="exact"/>
        <w:rPr>
          <w:rFonts w:ascii="Arial" w:cs="Arial" w:eastAsia="Arial" w:hAnsi="Arial"/>
          <w:sz w:val="17"/>
          <w:szCs w:val="17"/>
          <w:color w:val="auto"/>
        </w:rPr>
      </w:pPr>
    </w:p>
    <w:p>
      <w:pPr>
        <w:jc w:val="both"/>
        <w:ind w:firstLine="8"/>
        <w:spacing w:after="0" w:line="257" w:lineRule="auto"/>
        <w:tabs>
          <w:tab w:leader="none" w:pos="29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(where applicable) same place(s) or to such time and (where applicable) such place(s) and in such form and manner referred to in Article 58 as the chairman of the meeting (or in default, the Board) may absolutely determine. If at such adjourned meeting a quorum is not present within half an hour from the time appointed for holding the meeting, the meeting shall be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265430</wp:posOffset>
            </wp:positionV>
            <wp:extent cx="737235" cy="857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8"/>
        <w:spacing w:after="0" w:line="275" w:lineRule="auto"/>
        <w:tabs>
          <w:tab w:leader="none" w:pos="27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Chairman of the Board shall preside as chairman at every general meeting. If at any meeting the chairman is not present within fifteen (15)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(in the case of a Member being a corporation) by its duly authorized representative or by proxy and entitled to vote shall elect one of their number to be chairman.</w:t>
      </w:r>
    </w:p>
    <w:p>
      <w:pPr>
        <w:spacing w:after="0" w:line="176" w:lineRule="exact"/>
        <w:rPr>
          <w:rFonts w:ascii="Arial" w:cs="Arial" w:eastAsia="Arial" w:hAnsi="Arial"/>
          <w:sz w:val="17"/>
          <w:szCs w:val="17"/>
          <w:color w:val="auto"/>
        </w:rPr>
      </w:pPr>
    </w:p>
    <w:p>
      <w:pPr>
        <w:jc w:val="both"/>
        <w:ind w:firstLine="8"/>
        <w:spacing w:after="0" w:line="273" w:lineRule="auto"/>
        <w:tabs>
          <w:tab w:leader="none" w:pos="272"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Subject to Article 65C, the chairman may adjourn the meeting from time to time (or indefinitely) and/or from place to place(s) and/or from one form to another (a physical meeting, a hybrid meeting or an electronic meeting), but no business shall be transacted at any adjourned meeting other than the business which might lawfully have been transacted at the meeting had the adjournment not taken place. When a meeting is adjourned for fourteen (14) days or more, at least seven (7) clear days’ Notice of the adjourned meeting shall be given specifying the details as set out in Article 60(2) but it shall not be necessary to specify in such Notice the nature of the business to be transacted at the adjourned meeting and the general nature of the business to be transacted. Save as aforesaid, it shall be unnecessary to give Notice of an adjournment.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65A. (1) The Board may, in its absolute discretion, arrange for persons entitled to attend a general meeting to do so by simultaneous attendance and participation by means of electronic facilities at such location or locations (“</w:t>
      </w:r>
      <w:r>
        <w:rPr>
          <w:rFonts w:ascii="Arial" w:cs="Arial" w:eastAsia="Arial" w:hAnsi="Arial"/>
          <w:sz w:val="17"/>
          <w:szCs w:val="17"/>
          <w:b w:val="1"/>
          <w:bCs w:val="1"/>
          <w:color w:val="auto"/>
        </w:rPr>
        <w:t>Meeting Location(s)</w:t>
      </w:r>
      <w:r>
        <w:rPr>
          <w:rFonts w:ascii="Arial" w:cs="Arial" w:eastAsia="Arial" w:hAnsi="Arial"/>
          <w:sz w:val="17"/>
          <w:szCs w:val="17"/>
          <w:color w:val="auto"/>
        </w:rPr>
        <w:t>”) determined by the Board in its absolute discretion. Any Member or any proxy attending and participating in such manner or any Member or proxy attending and participating in an electronic meeting or a hybrid meeting by means of electronic facilities is deemed to be present at and shall be counted in the quorum of the meeting.</w:t>
      </w:r>
    </w:p>
    <w:p>
      <w:pPr>
        <w:spacing w:after="0" w:line="171" w:lineRule="exact"/>
        <w:rPr>
          <w:sz w:val="20"/>
          <w:szCs w:val="20"/>
          <w:color w:val="auto"/>
        </w:rPr>
      </w:pPr>
    </w:p>
    <w:p>
      <w:pPr>
        <w:ind w:firstLine="656"/>
        <w:spacing w:after="0" w:line="277" w:lineRule="auto"/>
        <w:tabs>
          <w:tab w:leader="none" w:pos="9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general meetings are subject to the following and, where appropriate, all references to a “Member” or “Members” in this sub-paragraph (2) shall include a proxy or proxies respectively:</w:t>
      </w:r>
    </w:p>
    <w:p>
      <w:pPr>
        <w:spacing w:after="0" w:line="170" w:lineRule="exact"/>
        <w:rPr>
          <w:sz w:val="20"/>
          <w:szCs w:val="20"/>
          <w:color w:val="auto"/>
        </w:rPr>
      </w:pPr>
    </w:p>
    <w:p>
      <w:pPr>
        <w:ind w:left="130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where a Member is attending a Meeting Location and/or in the case of a hybrid meeting, the meeting shall be treated as having commenced if it has commenced at the Principal Meeting Place;</w:t>
      </w:r>
    </w:p>
    <w:p>
      <w:pPr>
        <w:spacing w:after="0" w:line="17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Members present in person or by proxy at a Meeting Location and/or Members attending and participating in an electronic meeting or a hybrid meeting by means of electronic facilities shall be counted in the quorum for and entitled to vote at the meeting in question, and that meeting shall be duly constituted and its proceedings valid provided that the chairman of the meeting is satisfied that adequate electronic facilities are available throughout the meeting to ensure that Members at all Meeting Locations and where applicable, Members participating in an electronic meeting or a hybrid meeting by means of electronic facilities are able to participate in the business for which the meeting has been convened;</w:t>
      </w:r>
    </w:p>
    <w:p>
      <w:pPr>
        <w:spacing w:after="0" w:line="192"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where Members attend a meeting by being present at one of the Meeting Locations and/or where Members participating in an electronic meeting or a hybrid meeting by means of electronic facilities, a failure (for any reason) of the electronic facilities or communication equipment, or any other failure in the arrangements for enabling those in a Meeting Location other than the Principal Meeting Place to participate in the business for which the meeting has been convened or in the case of an electronic meeting or a hybrid meeting, the inability of one or more Members or proxies to access, or continue to access, the electronic facilities despite adequate electronic facilities having been made available by the Company, shall not affect the validity of the meeting or the resolutions passed, or any business conducted thereat or any action taken pursuant to such business provided that there is a quorum present throughout the meeting.</w:t>
      </w:r>
    </w:p>
    <w:p>
      <w:pPr>
        <w:spacing w:after="0" w:line="166"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of the Meeting Locations is not in the same jurisdiction as the Principal Meeting Place and/or in the case of a hybrid meeting, the provisions of these Articles concerning the service and giving of Notice for the meeting, and the time for lodging proxies, shall apply by reference to the Principal Meeting Place; and in the case of an electronic meeting, the time for lodging proxies shall be as stated in the Notice for the meeting.</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65B. The Board and, at any general meeting, the chairman of the meeting may from time to time make arrangements for managing attendance and/or participation and/or voting at the Principal Meeting Place, any Meeting Location(s) and/or participation in an electronic meeting or a hybrid meeting by means of electronic facilities (whether involving the issue of tickets or some other means of identification, passcode, seat reservation, electronic voting or otherwise) as it shall in its absolute discretion consider appropriate, and may from time to time change any such arrangements, provided that a Member who, pursuant to such arrangements, is not entitled to attend, in person or by proxy, at any Meeting Location shall be entitled so to attend at one of the other Meeting Locations; and the entitlement of any Member so to attend the meeting or adjourned meeting or postponed meeting at such Meeting Location or Meeting Locations shall be subject to any such arrangement as may be for the time being in force and by the Notice of meeting or adjourned meeting or postponed meeting stated to apply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259715</wp:posOffset>
            </wp:positionV>
            <wp:extent cx="737235" cy="8572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65C. If it appears to the chairman of the general meeting that:</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electronic facilities at the Principal Meeting Place or at such other Meeting Location(s) at which the meeting may be attended have become inadequate for the purposes referred to in Article 65A(1) or are otherwise not sufficient to allow the meeting to be conducted substantially in accordance with the provisions set out in the Notice of the meeting;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 electronic meeting or a hybrid meeting, electronic facilities being made available by the Company have become inadequate;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not possible to ascertain the view of those present or to give all persons entitled to do so a reasonable opportunity to communicate and/or vote at the meeting;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violence or the threat of violence, unruly behaviour or other disruption occurring at the meeting or it is not possible to secure the proper and orderly conduct of the meeting;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without prejudice to any other power which the chairman of the meeting may have under these Articles or at common law, the chairman may, in his/her absolute discretion, without the consent of the meeting, and before or after the meeting has started and irrespective of whether a quorum is present, interrupt or adjourn the meeting (including adjournment for an indefinite period). All business conducted at the meeting up to the time of such adjournment shall be valid.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65D. The Board and, at any general meeting, the chairman of the meeting may make any arrangement and impose any requirement or restriction the Board or the chairman of the meeting, as the case may be, considers appropriate to ensure the security and orderly conduct of a meeting (including, without limitation, requirements for evidence of identity to be produced by those attending the meeting, the searching of their personal property and the restriction of items that may be taken into the meeting place, determining the number and frequency of and the time allowed for questions that may be raised at a meeting). Members shall also comply with all requirements or restrictions imposed by the owner of the premises at which the meeting is held. Any decision made under this Article shall be final and conclusive and a person who refuses to comply with any such arrangements, requirements or restrictions may be refused entry to the meeting or ejected (physically or virtually, as the case may be) from the meeting.</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65E. If, after the sending of Notice of a general meeting but before the meeting is held, or after the adjournment of a meeting but before the adjourned meeting is held (whether or not Notice of the adjourned meeting is required), the Directors, in their absolute discretion, consider that it is inappropriate, impracticable, unreasonable or undesirable for any reason to hold the general meeting on the date or at the time or place or by means of electronic facilities specified in the Notice calling the meeting, they may change or postpone the meeting to another date, time and/or place and/or change the electronic facilities and/or change the form of the meeting (a physical meeting, an electronic meeting or a hybrid meeting) without approval from the Members. Without prejudice to the generality of the foregoing, the Directors shall have the power to provide in every Notice calling a general meeting the circumstances in which a postponement of the relevant general meeting may occur automatically without further notice. This Article shall be subject to the following:</w:t>
      </w:r>
    </w:p>
    <w:p>
      <w:pPr>
        <w:spacing w:after="0" w:line="192" w:lineRule="exact"/>
        <w:rPr>
          <w:sz w:val="20"/>
          <w:szCs w:val="20"/>
          <w:color w:val="auto"/>
        </w:rPr>
      </w:pPr>
    </w:p>
    <w:p>
      <w:pPr>
        <w:ind w:left="1300" w:hanging="644"/>
        <w:spacing w:after="0" w:line="308"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 a meeting is so postponed, the Company shall endeavour to post a Notice of such postponement on the Company’s website as soon as practicable (provided that failure to post such a Notice shall not affect the automatic postponement of a meeting);</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when only the form of the meeting or electronic facilities specified in the Notice are changed, the Board shall notify the Members of details of such change in such manner as the Board may determine;</w:t>
      </w:r>
    </w:p>
    <w:p>
      <w:pPr>
        <w:spacing w:after="0" w:line="170"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 a meeting is postponed or changed in accordance with this Article, subject to and without prejudice to this Article 65, unless already specified in the original Notice of the meeting, the Board shall fix the date, time, place (if applicable) and electronic facilities (if applicable) for the postponed or changed meeting and shall notify the Members of such details in such manner as the Board may determine; further all proxy forms shall be valid (unless revoked or replaced by a new proxy) if they are received as required by these Articles not less than forty-eight (48) hours before the time of the postponed meeting; and</w:t>
      </w:r>
    </w:p>
    <w:p>
      <w:pPr>
        <w:spacing w:after="0" w:line="17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Notice of the business to be transacted at the postponed or changed meeting shall not be required, nor shall any accompanying documents be required to be recirculated, provided that the business to be transacted at the postponed or changed meeting is the same as that set out in the original Notice of general meeting circulated to the Members.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65F. All persons seeking to attend and participate in an electronic meeting or a hybrid meeting shall be responsible for maintaining adequate facilities to enable them to do so. Subject to Article 65C, any inability of a person or persons to attend or participate in a general meeting by way of electronic facilities shall not invalidate the proceedings of and/or resolutions passed at that meeting.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65G. Without prejudice to other provisions in Article 65, a physical meeting may also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262890</wp:posOffset>
            </wp:positionV>
            <wp:extent cx="737235" cy="8572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240" w:gutter="0" w:footer="0" w:header="0"/>
        </w:sectPr>
      </w:pPr>
    </w:p>
    <w:bookmarkStart w:id="30" w:name="page31"/>
    <w:bookmarkEnd w:id="30"/>
    <w:p>
      <w:pPr>
        <w:jc w:val="both"/>
        <w:ind w:firstLine="8"/>
        <w:spacing w:after="0" w:line="286" w:lineRule="auto"/>
        <w:tabs>
          <w:tab w:leader="none" w:pos="302"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VOTING</w:t>
      </w:r>
    </w:p>
    <w:p>
      <w:pPr>
        <w:spacing w:after="0" w:line="225" w:lineRule="exact"/>
        <w:rPr>
          <w:sz w:val="20"/>
          <w:szCs w:val="20"/>
          <w:color w:val="auto"/>
        </w:rPr>
      </w:pPr>
    </w:p>
    <w:p>
      <w:pPr>
        <w:jc w:val="both"/>
        <w:ind w:firstLine="8"/>
        <w:spacing w:after="0" w:line="269" w:lineRule="auto"/>
        <w:tabs>
          <w:tab w:leader="none" w:pos="273"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Subject to any special rights or restrictions as to voting for the time being attached to any shares by or in accordance with these Articles, at any general meeting on a show of hands every Member present in person (or being a corporation, is present by a duly authorised representative), or by proxy shall have one vote and on a poll every Member present in person or by proxy or, in the case of a Member being a corporation, by its duly authorised representative shall have one vote for every fully paid share of which he is the holder but so that no amount paid up or credited as paid up on a share in advance of calls or instalments is treated for the foregoing purposes as paid up on the share. Notwithstanding anything contained in these Articles, where more than one proxy is appointed by a Member which is a clearing house or a central depository house (or its nominee(s)), each such proxy shall have one vote on a show of hands. Votes (whether on a show of hands or by way of a poll) may be cast by such means, electronic or otherwise, as the Directors or the chairman of the meeting may determine. A resolution put to the vote of a meeting shall be decided on a show of hands unless voting by way of a poll is required by the rules of the Designated Stock Exchange or (before or on the declaration of the result of the show of hands or on the withdrawal of any other demand for a poll) a poll is demanded:</w:t>
      </w:r>
    </w:p>
    <w:p>
      <w:pPr>
        <w:spacing w:after="0" w:line="185" w:lineRule="exact"/>
        <w:rPr>
          <w:rFonts w:ascii="Arial" w:cs="Arial" w:eastAsia="Arial" w:hAnsi="Arial"/>
          <w:sz w:val="17"/>
          <w:szCs w:val="17"/>
          <w:color w:val="auto"/>
        </w:rPr>
      </w:pPr>
    </w:p>
    <w:p>
      <w:pPr>
        <w:ind w:left="1300" w:hanging="644"/>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the chairman of such meeting;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at least three Members present in person or (in the case of a Member being a corporation) by its duly authorised representative or by proxy for the time being entitled to vote at the meeting; or</w:t>
      </w:r>
    </w:p>
    <w:p>
      <w:pPr>
        <w:spacing w:after="0" w:line="17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by a Member or Members present in person or (in the case of a Member being a corporation) by its duly authorised representative or by proxy and representing not less than one-tenth of the total voting rights of all Members having the right to vote at the meeting; or</w:t>
      </w:r>
    </w:p>
    <w:p>
      <w:pPr>
        <w:spacing w:after="0" w:line="123"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one-tenth of the total sum paid up on all shares conferring that right; or</w:t>
      </w:r>
    </w:p>
    <w:p>
      <w:pPr>
        <w:spacing w:after="0" w:line="1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required by the rules of the Designated Stock Exchange, by any Director or Directors who, individually or collectively, hold proxies in respect of shares representing five per cent. (5%) or more of the total voting rights at such meeting.</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 demand by a person as proxy for a Member or in the case of a Member being a corporation by its duly authorised representative shall be deemed to be the same as a demand by a Member.</w:t>
      </w:r>
    </w:p>
    <w:p>
      <w:pPr>
        <w:spacing w:after="0" w:line="170" w:lineRule="exact"/>
        <w:rPr>
          <w:sz w:val="20"/>
          <w:szCs w:val="20"/>
          <w:color w:val="auto"/>
        </w:rPr>
      </w:pPr>
    </w:p>
    <w:p>
      <w:pPr>
        <w:jc w:val="both"/>
        <w:ind w:firstLine="8"/>
        <w:spacing w:after="0" w:line="286" w:lineRule="auto"/>
        <w:tabs>
          <w:tab w:leader="none" w:pos="303"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Unless a poll is duly demanded and the demand is not withdrawn,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w:t>
      </w:r>
    </w:p>
    <w:p>
      <w:pPr>
        <w:spacing w:after="0" w:line="165" w:lineRule="exact"/>
        <w:rPr>
          <w:rFonts w:ascii="Arial" w:cs="Arial" w:eastAsia="Arial" w:hAnsi="Arial"/>
          <w:sz w:val="17"/>
          <w:szCs w:val="17"/>
          <w:color w:val="auto"/>
        </w:rPr>
      </w:pPr>
    </w:p>
    <w:p>
      <w:pPr>
        <w:ind w:firstLine="8"/>
        <w:spacing w:after="0" w:line="308" w:lineRule="auto"/>
        <w:tabs>
          <w:tab w:leader="none" w:pos="27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 poll is duly demanded the result of the poll shall be deemed to be the resolution of the meeting at which the poll was demanded. The Company shall only be required to disclose the voting figures on a poll if such disclosure is required by the rules of the Designated Stock Exchange.</w:t>
      </w:r>
    </w:p>
    <w:p>
      <w:pPr>
        <w:spacing w:after="0" w:line="146" w:lineRule="exact"/>
        <w:rPr>
          <w:rFonts w:ascii="Arial" w:cs="Arial" w:eastAsia="Arial" w:hAnsi="Arial"/>
          <w:sz w:val="17"/>
          <w:szCs w:val="17"/>
          <w:color w:val="auto"/>
        </w:rPr>
      </w:pPr>
    </w:p>
    <w:p>
      <w:pPr>
        <w:jc w:val="both"/>
        <w:ind w:firstLine="8"/>
        <w:spacing w:after="0" w:line="259" w:lineRule="auto"/>
        <w:tabs>
          <w:tab w:leader="none" w:pos="2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poll demanded on the election of a chairman, or on a question of adjournment, shall be taken forthwith. A poll demanded on any other question shall be taken in such manner (including the use of ballot or voting papers or tickets) and either forthwith or at such time (being not later than thirty (30) days after the date of the demand) and place as the chairman directs. It shall not be necessary (unless the chairman otherwise directs) for Notice to be given of a poll not taken immediately.</w:t>
      </w:r>
    </w:p>
    <w:p>
      <w:pPr>
        <w:spacing w:after="0" w:line="186" w:lineRule="exact"/>
        <w:rPr>
          <w:rFonts w:ascii="Arial" w:cs="Arial" w:eastAsia="Arial" w:hAnsi="Arial"/>
          <w:sz w:val="18"/>
          <w:szCs w:val="18"/>
          <w:color w:val="auto"/>
        </w:rPr>
      </w:pPr>
    </w:p>
    <w:p>
      <w:pPr>
        <w:jc w:val="both"/>
        <w:ind w:firstLine="8"/>
        <w:spacing w:after="0" w:line="279" w:lineRule="auto"/>
        <w:tabs>
          <w:tab w:leader="none" w:pos="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earlier. All resolutions put to the Members at electronic meetings shall be voted on by a poll, which poll votes may be cast by such electronic means as the Board may, in its sole discretion, deem appropriate for the purposes of the electronic meetings.</w:t>
      </w:r>
    </w:p>
    <w:p>
      <w:pPr>
        <w:spacing w:after="0" w:line="171" w:lineRule="exact"/>
        <w:rPr>
          <w:rFonts w:ascii="Arial" w:cs="Arial" w:eastAsia="Arial" w:hAnsi="Arial"/>
          <w:sz w:val="17"/>
          <w:szCs w:val="17"/>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25" w:lineRule="exact"/>
        <w:rPr>
          <w:rFonts w:ascii="Arial" w:cs="Arial" w:eastAsia="Arial" w:hAnsi="Arial"/>
          <w:sz w:val="18"/>
          <w:szCs w:val="18"/>
          <w:color w:val="auto"/>
        </w:rPr>
      </w:pPr>
    </w:p>
    <w:p>
      <w:pPr>
        <w:jc w:val="both"/>
        <w:ind w:right="20" w:firstLine="8"/>
        <w:spacing w:after="0" w:line="263" w:lineRule="auto"/>
        <w:tabs>
          <w:tab w:leader="none" w:pos="2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questions submitted to a meeting shall be decided by a simple majority of votes except where a greater majority is required by these Articles or by the Act. In the case of an equality of votes, whether on a show of hands or on a poll, the chairman of such meeting shall be entitled to a second or casting vote in addition to any other vote he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262890</wp:posOffset>
            </wp:positionV>
            <wp:extent cx="737235" cy="857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456" w:gutter="0" w:footer="0" w:header="0"/>
        </w:sectPr>
      </w:pPr>
    </w:p>
    <w:bookmarkStart w:id="31" w:name="page32"/>
    <w:bookmarkEnd w:id="31"/>
    <w:p>
      <w:pPr>
        <w:jc w:val="both"/>
        <w:ind w:firstLine="8"/>
        <w:spacing w:after="0" w:line="257" w:lineRule="auto"/>
        <w:tabs>
          <w:tab w:leader="none" w:pos="2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Where there are joint holders of any share any one of such joint holders may vote, either in person or by proxy, in respect of such share as if he were solely entitled thereto, but if more than one of such joint holders be present at any meeting the vote of the senior holder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87" w:lineRule="exact"/>
        <w:rPr>
          <w:rFonts w:ascii="Arial" w:cs="Arial" w:eastAsia="Arial" w:hAnsi="Arial"/>
          <w:sz w:val="18"/>
          <w:szCs w:val="18"/>
          <w:color w:val="auto"/>
        </w:rPr>
      </w:pPr>
    </w:p>
    <w:p>
      <w:pPr>
        <w:jc w:val="both"/>
        <w:ind w:firstLine="8"/>
        <w:spacing w:after="0" w:line="272" w:lineRule="auto"/>
        <w:tabs>
          <w:tab w:leader="none" w:pos="272" w:val="left"/>
        </w:tabs>
        <w:numPr>
          <w:ilvl w:val="0"/>
          <w:numId w:val="53"/>
        </w:numPr>
        <w:rPr>
          <w:rFonts w:ascii="Arial" w:cs="Arial" w:eastAsia="Arial" w:hAnsi="Arial"/>
          <w:sz w:val="17"/>
          <w:szCs w:val="17"/>
          <w:color w:val="auto"/>
        </w:rPr>
      </w:pPr>
      <w:r>
        <w:rPr>
          <w:rFonts w:ascii="Arial" w:cs="Arial" w:eastAsia="Arial" w:hAnsi="Arial"/>
          <w:sz w:val="17"/>
          <w:szCs w:val="17"/>
          <w:color w:val="auto"/>
        </w:rPr>
        <w:t>(1) 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postponed meeting, or poll, as the case may be.</w:t>
      </w:r>
    </w:p>
    <w:p>
      <w:pPr>
        <w:spacing w:after="0" w:line="177" w:lineRule="exact"/>
        <w:rPr>
          <w:rFonts w:ascii="Arial" w:cs="Arial" w:eastAsia="Arial" w:hAnsi="Arial"/>
          <w:sz w:val="17"/>
          <w:szCs w:val="17"/>
          <w:color w:val="auto"/>
        </w:rPr>
      </w:pPr>
    </w:p>
    <w:p>
      <w:pPr>
        <w:jc w:val="both"/>
        <w:ind w:firstLine="656"/>
        <w:spacing w:after="0" w:line="259" w:lineRule="auto"/>
        <w:tabs>
          <w:tab w:leader="none" w:pos="9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person entitled under Article 55 to be registered as the holder of any shares may vote at any general meeting in respect thereof in the same manner as if he were the registered holder of such shares, provided that forty-eight (48) hours at least before the time of the holding of the meeting or adjourned meeting or postponed meeting, as the case may be, at which he proposes to vote, he shall satisfy the Board of his entitlement to such shares, or the Board shall have previously admitted his right to vote at such meeting in respect thereof.</w:t>
      </w:r>
    </w:p>
    <w:p>
      <w:pPr>
        <w:spacing w:after="0" w:line="186" w:lineRule="exact"/>
        <w:rPr>
          <w:rFonts w:ascii="Arial" w:cs="Arial" w:eastAsia="Arial" w:hAnsi="Arial"/>
          <w:sz w:val="18"/>
          <w:szCs w:val="18"/>
          <w:color w:val="auto"/>
        </w:rPr>
      </w:pPr>
    </w:p>
    <w:p>
      <w:pPr>
        <w:ind w:firstLine="8"/>
        <w:spacing w:after="0" w:line="308" w:lineRule="auto"/>
        <w:tabs>
          <w:tab w:leader="none" w:pos="276"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spacing w:after="0" w:line="146" w:lineRule="exact"/>
        <w:rPr>
          <w:rFonts w:ascii="Arial" w:cs="Arial" w:eastAsia="Arial" w:hAnsi="Arial"/>
          <w:sz w:val="17"/>
          <w:szCs w:val="17"/>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objection shall be raised to the qualification of any voter;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objection or error shall not vitiate the decision of the meeting or adjourned meeting or postponed meeting on any resolution unless the same is raised or pointed out at the meeting or, as the case may be, the adjourned meeting or postponed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PROXIES</w:t>
      </w:r>
    </w:p>
    <w:p>
      <w:pPr>
        <w:spacing w:after="0" w:line="225" w:lineRule="exact"/>
        <w:rPr>
          <w:sz w:val="20"/>
          <w:szCs w:val="20"/>
          <w:color w:val="auto"/>
        </w:rPr>
      </w:pPr>
    </w:p>
    <w:p>
      <w:pPr>
        <w:jc w:val="both"/>
        <w:ind w:firstLine="8"/>
        <w:spacing w:after="0" w:line="257" w:lineRule="auto"/>
        <w:tabs>
          <w:tab w:leader="none" w:pos="2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187" w:lineRule="exact"/>
        <w:rPr>
          <w:rFonts w:ascii="Arial" w:cs="Arial" w:eastAsia="Arial" w:hAnsi="Arial"/>
          <w:sz w:val="18"/>
          <w:szCs w:val="18"/>
          <w:color w:val="auto"/>
        </w:rPr>
      </w:pPr>
    </w:p>
    <w:p>
      <w:pPr>
        <w:jc w:val="both"/>
        <w:ind w:firstLine="8"/>
        <w:spacing w:after="0" w:line="279" w:lineRule="auto"/>
        <w:tabs>
          <w:tab w:leader="none" w:pos="27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254635</wp:posOffset>
            </wp:positionV>
            <wp:extent cx="737235" cy="857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8"/>
        <w:spacing w:after="0" w:line="287" w:lineRule="auto"/>
        <w:tabs>
          <w:tab w:leader="none" w:pos="2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(1) The Company may, in its absolute discretion, provide an electronic address for the receipt of any document or information relating to proxies for a general meeting (including any instrument of proxy or invitation to appoint a proxy, any document necessary to show the validity of, or otherwise relating to, an appointment of proxy (whether or not required under these Articles) and notice of termination of the authority of a proxy). If such an electronic address is provided, the Company shall be deemed to have agreed that any such document or information (relating to proxies as aforesaid) may be sent by electronic means to that address, subject as hereafter provided and subject to any other limitations or conditions specified by the Company when providing the address. 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required to be sent to the Company under this Article is sent to the Company by electronic means, such document or information is not treated as validly delivered to or deposited with the Company if the same is not received by the Company at its designated electronic address provided in accordance with this Article or if no electronic address is so designated by the Company for the receipt of such document or information.</w:t>
      </w:r>
    </w:p>
    <w:p>
      <w:pPr>
        <w:spacing w:after="0" w:line="167" w:lineRule="exact"/>
        <w:rPr>
          <w:rFonts w:ascii="Arial" w:cs="Arial" w:eastAsia="Arial" w:hAnsi="Arial"/>
          <w:sz w:val="16"/>
          <w:szCs w:val="16"/>
          <w:color w:val="auto"/>
        </w:rPr>
      </w:pPr>
    </w:p>
    <w:p>
      <w:pPr>
        <w:jc w:val="both"/>
        <w:ind w:firstLine="656"/>
        <w:spacing w:after="0" w:line="269" w:lineRule="auto"/>
        <w:tabs>
          <w:tab w:leader="none" w:pos="904"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or if the Company has provided an electronic address in accordance with the preceding paragraph, shall be received at the electronic address specified, not less than forty-eight (48) hours before the time appointed for holding the meeting or adjourned meeting or postponed meeting at which the person named in the instrument proposes to vote. All proxy forms shall be valid (unless revoked or replaced by a new proxy form) if they are received not less than forty-eight (48) hours before the time appointed for holding the meeting or adjourned meeting or postponed meeting. No instrument appointing a proxy shall be valid after the expiration of twelve (12) months from the date named in it as the date of its execution, except at an adjourned meeting or postponed meeting or on a poll demanded at a meeting or an adjourned meeting in cases where the meeting was originally held within twelve (12) months from such date. Delivery of an instrument appointing a proxy shall not preclude a Member from attending and voting at the meeting convened and in such event, the instrument appointing a proxy shall be deemed to be revoked.</w:t>
      </w:r>
    </w:p>
    <w:p>
      <w:pPr>
        <w:spacing w:after="0" w:line="181" w:lineRule="exact"/>
        <w:rPr>
          <w:rFonts w:ascii="Arial" w:cs="Arial" w:eastAsia="Arial" w:hAnsi="Arial"/>
          <w:sz w:val="17"/>
          <w:szCs w:val="17"/>
          <w:color w:val="auto"/>
        </w:rPr>
      </w:pPr>
    </w:p>
    <w:p>
      <w:pPr>
        <w:jc w:val="both"/>
        <w:ind w:firstLine="8"/>
        <w:spacing w:after="0" w:line="290" w:lineRule="auto"/>
        <w:tabs>
          <w:tab w:leader="none" w:pos="274"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or postponement of the meeting as for the meeting to which it relates. The Board may decide, either generally or in any particular case, to treat a proxy appointment as valid notwithstanding that the appointment or any of the information required under these Articles has not been received in accordance with the requirements of these Articles. Subject to the foregoing, if the proxy appointment and any of the information required under these Articles is not received in the manner set out in these Articles, the appointee shall not be entitled to vote in respect of the shares in question.</w:t>
      </w:r>
    </w:p>
    <w:p>
      <w:pPr>
        <w:spacing w:after="0" w:line="165" w:lineRule="exact"/>
        <w:rPr>
          <w:rFonts w:ascii="Arial" w:cs="Arial" w:eastAsia="Arial" w:hAnsi="Arial"/>
          <w:sz w:val="16"/>
          <w:szCs w:val="16"/>
          <w:color w:val="auto"/>
        </w:rPr>
      </w:pPr>
    </w:p>
    <w:p>
      <w:pPr>
        <w:jc w:val="both"/>
        <w:ind w:firstLine="8"/>
        <w:spacing w:after="0" w:line="275" w:lineRule="auto"/>
        <w:tabs>
          <w:tab w:leader="none" w:pos="2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(2) hours at least before the commencement of the meeting or adjourned meeting or postponed meeting, or the taking of the poll, at which the instrument of proxy is used.</w:t>
      </w:r>
    </w:p>
    <w:p>
      <w:pPr>
        <w:spacing w:after="0" w:line="176" w:lineRule="exact"/>
        <w:rPr>
          <w:rFonts w:ascii="Arial" w:cs="Arial" w:eastAsia="Arial" w:hAnsi="Arial"/>
          <w:sz w:val="17"/>
          <w:szCs w:val="17"/>
          <w:color w:val="auto"/>
        </w:rPr>
      </w:pPr>
    </w:p>
    <w:p>
      <w:pPr>
        <w:jc w:val="both"/>
        <w:ind w:firstLine="8"/>
        <w:spacing w:after="0" w:line="263" w:lineRule="auto"/>
        <w:tabs>
          <w:tab w:leader="none" w:pos="2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Anything which under these Articles a Member may do by proxy he may likewise do by his duly appointed attorney and the provisions of these Articles relating to proxies and instruments appointing proxies shall apply mutatis mutandis in relation to any such attorney and the instrument under which such attorney is appointed.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CORPORATIONS ACTING BY REPRESENTATIVES</w:t>
      </w:r>
    </w:p>
    <w:p>
      <w:pPr>
        <w:spacing w:after="0" w:line="225" w:lineRule="exact"/>
        <w:rPr>
          <w:sz w:val="20"/>
          <w:szCs w:val="20"/>
          <w:color w:val="auto"/>
        </w:rPr>
      </w:pPr>
    </w:p>
    <w:p>
      <w:pPr>
        <w:jc w:val="both"/>
        <w:ind w:firstLine="8"/>
        <w:spacing w:after="0" w:line="279" w:lineRule="auto"/>
        <w:tabs>
          <w:tab w:leader="none" w:pos="283" w:val="left"/>
        </w:tabs>
        <w:numPr>
          <w:ilvl w:val="0"/>
          <w:numId w:val="57"/>
        </w:numPr>
        <w:rPr>
          <w:rFonts w:ascii="Arial" w:cs="Arial" w:eastAsia="Arial" w:hAnsi="Arial"/>
          <w:sz w:val="17"/>
          <w:szCs w:val="17"/>
          <w:color w:val="auto"/>
        </w:rPr>
      </w:pPr>
      <w:r>
        <w:rPr>
          <w:rFonts w:ascii="Arial" w:cs="Arial" w:eastAsia="Arial" w:hAnsi="Arial"/>
          <w:sz w:val="17"/>
          <w:szCs w:val="17"/>
          <w:color w:val="auto"/>
        </w:rPr>
        <w:t>(1) 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254635</wp:posOffset>
            </wp:positionV>
            <wp:extent cx="737235" cy="8572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56"/>
        <w:spacing w:after="0" w:line="293" w:lineRule="auto"/>
        <w:tabs>
          <w:tab w:leader="none" w:pos="922"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 clearing house (or its nominee(s)) or a central depository entity,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central depository entity (or its nominee(s)) as if such person was the registered holder of the shares of the Company held by the clearing house or a central depository entity (or its nominee(s)) including the right to vote individually on a show of hands.</w:t>
      </w:r>
    </w:p>
    <w:p>
      <w:pPr>
        <w:spacing w:after="0" w:line="164" w:lineRule="exact"/>
        <w:rPr>
          <w:rFonts w:ascii="Arial" w:cs="Arial" w:eastAsia="Arial" w:hAnsi="Arial"/>
          <w:sz w:val="16"/>
          <w:szCs w:val="16"/>
          <w:color w:val="auto"/>
        </w:rPr>
      </w:pPr>
    </w:p>
    <w:p>
      <w:pPr>
        <w:ind w:firstLine="656"/>
        <w:spacing w:after="0" w:line="277" w:lineRule="auto"/>
        <w:tabs>
          <w:tab w:leader="none" w:pos="9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reference in these Articles to a duly authorised representative of a Member being a corporation shall mean a representative authorised under the provisions of this Article.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 ACTION BY WRITTEN RESOLUTIONS OF MEMBERS</w:t>
      </w:r>
    </w:p>
    <w:p>
      <w:pPr>
        <w:spacing w:after="0" w:line="225" w:lineRule="exact"/>
        <w:rPr>
          <w:sz w:val="20"/>
          <w:szCs w:val="20"/>
          <w:color w:val="auto"/>
        </w:rPr>
      </w:pPr>
    </w:p>
    <w:p>
      <w:pPr>
        <w:jc w:val="both"/>
        <w:ind w:firstLine="8"/>
        <w:spacing w:after="0" w:line="263" w:lineRule="auto"/>
        <w:tabs>
          <w:tab w:leader="none" w:pos="2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action required or permitted to be taken at any annual or extraordinary general meetings of the Company may be taken only upon the vote of the Members at an annual or extraordinary general meeting duly noticed and convened in accordance with these Articles and the Act and may not be taken by written resolution of Members without a meeting.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jc w:val="both"/>
        <w:ind w:firstLine="8"/>
        <w:spacing w:after="0" w:line="259" w:lineRule="auto"/>
        <w:tabs>
          <w:tab w:leader="none" w:pos="2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Unless otherwise determined by the Company in general meeting, the number of Directors shall not be less than three (3). There shall be no maximum number of Directors unless otherwise determined from time to time by the Members in general meeting. The Directors shall be elected or appointed in the first place by the subscribers to the Memorandum of Association or by a majority of them and thereafter shall hold office until their successors are elected or appointed.</w:t>
      </w:r>
    </w:p>
    <w:p>
      <w:pPr>
        <w:spacing w:after="0" w:line="186" w:lineRule="exact"/>
        <w:rPr>
          <w:rFonts w:ascii="Arial" w:cs="Arial" w:eastAsia="Arial" w:hAnsi="Arial"/>
          <w:sz w:val="18"/>
          <w:szCs w:val="18"/>
          <w:color w:val="auto"/>
        </w:rPr>
      </w:pPr>
    </w:p>
    <w:p>
      <w:pPr>
        <w:ind w:firstLine="656"/>
        <w:spacing w:after="0" w:line="277" w:lineRule="auto"/>
        <w:tabs>
          <w:tab w:leader="none" w:pos="9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the Articles and the Act, the Company may by ordinary resolution elect any person to be a Director either to fill a casual vacancy or as an addition to the existing Board.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Directors shall have the power from time to time and at any time to appoint any person as a Director to fill a casual vacancy on the Board or as an addition to the existing Board. Any Director so appointed by the Board shall hold office only until the next following annual general meeting of the Company and shall then be eligible for re-election.</w:t>
      </w:r>
    </w:p>
    <w:p>
      <w:pPr>
        <w:spacing w:after="0" w:line="183" w:lineRule="exact"/>
        <w:rPr>
          <w:rFonts w:ascii="Arial" w:cs="Arial" w:eastAsia="Arial" w:hAnsi="Arial"/>
          <w:sz w:val="18"/>
          <w:szCs w:val="18"/>
          <w:color w:val="auto"/>
        </w:rPr>
      </w:pPr>
    </w:p>
    <w:p>
      <w:pPr>
        <w:ind w:firstLine="656"/>
        <w:spacing w:after="0" w:line="277" w:lineRule="auto"/>
        <w:tabs>
          <w:tab w:leader="none" w:pos="9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8"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any provision to the contrary in these Articles, a Director may be removed by way of an ordinary resolution of the Members at any time before the expiration of his period of office notwithstanding anything in these Articles or in any agreement between the Company and such Director (but without prejudice to any claim for damages under any such agreement).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vacancy on the Board created by the removal of a Director under the provisions of subparagraph (5) above may be filled by the election or appointment by ordinary resolution of the Members at the meeting at which such Director is removed or by the affirmative vote of a simple majority of the remaining Directors present and voting at a Board meeting.</w:t>
      </w:r>
    </w:p>
    <w:p>
      <w:pPr>
        <w:spacing w:after="0" w:line="183" w:lineRule="exact"/>
        <w:rPr>
          <w:rFonts w:ascii="Arial" w:cs="Arial" w:eastAsia="Arial" w:hAnsi="Arial"/>
          <w:sz w:val="18"/>
          <w:szCs w:val="18"/>
          <w:color w:val="auto"/>
        </w:rPr>
      </w:pPr>
    </w:p>
    <w:p>
      <w:pPr>
        <w:ind w:right="20" w:firstLine="656"/>
        <w:spacing w:after="0" w:line="277" w:lineRule="auto"/>
        <w:tabs>
          <w:tab w:leader="none" w:pos="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may from time to time in general meeting by ordinary resolution increase or reduce the number of Directors but so that the number of Directors shall never be less than three (3).</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person shall, unless recommended by the Directors for election, be eligible for election as a Director at any general meeting.</w:t>
      </w:r>
    </w:p>
    <w:p>
      <w:pPr>
        <w:spacing w:after="0" w:line="225" w:lineRule="exact"/>
        <w:rPr>
          <w:rFonts w:ascii="Arial" w:cs="Arial" w:eastAsia="Arial" w:hAnsi="Arial"/>
          <w:sz w:val="18"/>
          <w:szCs w:val="18"/>
          <w:color w:val="auto"/>
        </w:rPr>
      </w:pPr>
    </w:p>
    <w:p>
      <w:pPr>
        <w:ind w:left="4140"/>
        <w:spacing w:after="0"/>
        <w:rPr>
          <w:rFonts w:ascii="Arial" w:cs="Arial" w:eastAsia="Arial" w:hAnsi="Arial"/>
          <w:sz w:val="18"/>
          <w:szCs w:val="18"/>
          <w:color w:val="auto"/>
        </w:rPr>
      </w:pPr>
      <w:r>
        <w:rPr>
          <w:rFonts w:ascii="Arial" w:cs="Arial" w:eastAsia="Arial" w:hAnsi="Arial"/>
          <w:sz w:val="18"/>
          <w:szCs w:val="18"/>
          <w:u w:val="single" w:color="auto"/>
          <w:color w:val="auto"/>
        </w:rPr>
        <w:t>DISQUALIFICATION OF DIRECTORS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office of a Director shall be vacated if the Director: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Company at the Office or tendered at a meeting of the Board;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becomes of unsound mind or dies;</w:t>
      </w:r>
    </w:p>
    <w:p>
      <w:pPr>
        <w:spacing w:after="0" w:line="225" w:lineRule="exact"/>
        <w:rPr>
          <w:rFonts w:ascii="Arial" w:cs="Arial" w:eastAsia="Arial" w:hAnsi="Arial"/>
          <w:sz w:val="18"/>
          <w:szCs w:val="18"/>
          <w:color w:val="auto"/>
        </w:rPr>
      </w:pPr>
    </w:p>
    <w:p>
      <w:pPr>
        <w:ind w:firstLine="656"/>
        <w:spacing w:after="0" w:line="277" w:lineRule="auto"/>
        <w:tabs>
          <w:tab w:leader="none" w:pos="9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without special leave of absence from the Board, is absent from meetings of the Board for six consecutive months and the Board resolves that his office be vacated;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254635</wp:posOffset>
            </wp:positionV>
            <wp:extent cx="737235" cy="857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04" w:gutter="0" w:footer="0" w:header="0"/>
        </w:sectPr>
      </w:pPr>
    </w:p>
    <w:bookmarkStart w:id="34" w:name="page35"/>
    <w:bookmarkEnd w:id="34"/>
    <w:p>
      <w:pPr>
        <w:ind w:left="920" w:hanging="264"/>
        <w:spacing w:after="0"/>
        <w:tabs>
          <w:tab w:leader="none" w:pos="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becomes bankrupt or has a receiving order made against him or suspends payment or compounds with his creditors;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is prohibited by law from being a Director;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ceases to be a Director by virtue of any provision of the Statutes or is removed from office pursuant to these Articles.</w:t>
      </w:r>
    </w:p>
    <w:p>
      <w:pPr>
        <w:spacing w:after="0" w:line="225"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u w:val="single" w:color="auto"/>
          <w:color w:val="auto"/>
        </w:rPr>
        <w:t>EXECUTIVE DIRECTORS</w:t>
      </w:r>
    </w:p>
    <w:p>
      <w:pPr>
        <w:spacing w:after="0" w:line="225" w:lineRule="exact"/>
        <w:rPr>
          <w:rFonts w:ascii="Arial" w:cs="Arial" w:eastAsia="Arial" w:hAnsi="Arial"/>
          <w:sz w:val="18"/>
          <w:szCs w:val="18"/>
          <w:color w:val="auto"/>
        </w:rPr>
      </w:pPr>
    </w:p>
    <w:p>
      <w:pPr>
        <w:jc w:val="both"/>
        <w:ind w:firstLine="8"/>
        <w:spacing w:after="0" w:line="254" w:lineRule="auto"/>
        <w:tabs>
          <w:tab w:leader="none" w:pos="2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Board may from time to time appoint any one or more of its body to be a managing director, joint managing director or deputy managing director or to hold any other employment or executive office with the Company for such period (subject to their continuance as Directors) and upon such terms as the Board may determine and the Board may revoke or terminate any of such appointments. Any such revocation or termination as aforesaid shall be without prejudice to any claim for damages that such Director may have against the Company or the Company may have against such Director. A Director appointed to an office under this Article shall be subject to the same provisions as to removal as the other Directors of the Company, and he shall (subject to the provisions of any contract between him and the Company) ipso facto and immediately cease to hold such office if he shall cease to hold the office of Director for any cause.</w:t>
      </w:r>
    </w:p>
    <w:p>
      <w:pPr>
        <w:spacing w:after="0" w:line="194" w:lineRule="exact"/>
        <w:rPr>
          <w:rFonts w:ascii="Arial" w:cs="Arial" w:eastAsia="Arial" w:hAnsi="Arial"/>
          <w:sz w:val="18"/>
          <w:szCs w:val="18"/>
          <w:color w:val="auto"/>
        </w:rPr>
      </w:pPr>
    </w:p>
    <w:p>
      <w:pPr>
        <w:jc w:val="both"/>
        <w:ind w:firstLine="8"/>
        <w:spacing w:after="0" w:line="286" w:lineRule="auto"/>
        <w:tabs>
          <w:tab w:leader="none" w:pos="3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 executive director appointed to an office under Article 90 hereof shall receive such remuneration (whether by way of salary, commission, participation in profits or otherwise or by all or any of those modes) and such other benefits (including pension and/or gratuity and/or other benefits on retirement) and allowances as the Board may from time to time determine, and either in addition to or in lieu of his remuneration as a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 FEES AND EXPENSES</w:t>
      </w:r>
    </w:p>
    <w:p>
      <w:pPr>
        <w:spacing w:after="0" w:line="225" w:lineRule="exact"/>
        <w:rPr>
          <w:sz w:val="20"/>
          <w:szCs w:val="20"/>
          <w:color w:val="auto"/>
        </w:rPr>
      </w:pPr>
    </w:p>
    <w:p>
      <w:pPr>
        <w:jc w:val="both"/>
        <w:ind w:firstLine="8"/>
        <w:spacing w:after="0" w:line="259" w:lineRule="auto"/>
        <w:tabs>
          <w:tab w:leader="none" w:pos="2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Directors shall receive such remuneration as the Board may from time to time determine. Each Director shall be entitled to be repaid or prepaid all traveling, hotel and incidental expenses reasonably incurred or expected to be incurred by him in attending meetings of the Board or committees of the board or general meetings or separate meetings of any class of shares or of debenture of the Company or otherwise in connection with the discharge of his duties as a Director.</w:t>
      </w:r>
    </w:p>
    <w:p>
      <w:pPr>
        <w:spacing w:after="0" w:line="186" w:lineRule="exact"/>
        <w:rPr>
          <w:rFonts w:ascii="Arial" w:cs="Arial" w:eastAsia="Arial" w:hAnsi="Arial"/>
          <w:sz w:val="18"/>
          <w:szCs w:val="18"/>
          <w:color w:val="auto"/>
        </w:rPr>
      </w:pPr>
    </w:p>
    <w:p>
      <w:pPr>
        <w:jc w:val="both"/>
        <w:ind w:firstLine="8"/>
        <w:spacing w:after="0" w:line="263" w:lineRule="auto"/>
        <w:tabs>
          <w:tab w:leader="none" w:pos="2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83" w:lineRule="exact"/>
        <w:rPr>
          <w:rFonts w:ascii="Arial" w:cs="Arial" w:eastAsia="Arial" w:hAnsi="Arial"/>
          <w:sz w:val="18"/>
          <w:szCs w:val="18"/>
          <w:color w:val="auto"/>
        </w:rPr>
      </w:pPr>
    </w:p>
    <w:p>
      <w:pPr>
        <w:jc w:val="both"/>
        <w:ind w:firstLine="8"/>
        <w:spacing w:after="0" w:line="259" w:lineRule="auto"/>
        <w:tabs>
          <w:tab w:leader="none" w:pos="2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86" w:lineRule="exact"/>
        <w:rPr>
          <w:rFonts w:ascii="Arial" w:cs="Arial" w:eastAsia="Arial" w:hAnsi="Arial"/>
          <w:sz w:val="18"/>
          <w:szCs w:val="18"/>
          <w:color w:val="auto"/>
        </w:rPr>
      </w:pPr>
    </w:p>
    <w:p>
      <w:pPr>
        <w:ind w:firstLine="8"/>
        <w:spacing w:after="0" w:line="277" w:lineRule="auto"/>
        <w:tabs>
          <w:tab w:leader="none" w:pos="2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shall determine any payment to any Director or past Director of the Company by way of compensation for loss of office, or as consideration for or in connection with his retirement from office (not being payment to which the Director is contractually entitled).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 INTERESTS</w:t>
      </w:r>
    </w:p>
    <w:p>
      <w:pPr>
        <w:spacing w:after="0" w:line="225" w:lineRule="exact"/>
        <w:rPr>
          <w:sz w:val="20"/>
          <w:szCs w:val="20"/>
          <w:color w:val="auto"/>
        </w:rPr>
      </w:pPr>
    </w:p>
    <w:p>
      <w:pPr>
        <w:ind w:left="280" w:hanging="272"/>
        <w:spacing w:after="0"/>
        <w:tabs>
          <w:tab w:leader="none" w:pos="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Director may:</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act by himself or his firm in a professional capacity for the Company (otherwise than as Auditor) and he or his firm may be remunerated for professional services as if he were not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254635</wp:posOffset>
            </wp:positionV>
            <wp:extent cx="737235" cy="857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left="1300" w:hanging="644"/>
        <w:spacing w:after="0" w:line="268"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Notwithstanding the foregoing, no “Independent Director” as defined in the rules of the Designated Stock Exchange or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171" w:lineRule="exact"/>
        <w:rPr>
          <w:sz w:val="20"/>
          <w:szCs w:val="20"/>
          <w:color w:val="auto"/>
        </w:rPr>
      </w:pPr>
    </w:p>
    <w:p>
      <w:pPr>
        <w:jc w:val="both"/>
        <w:ind w:firstLine="8"/>
        <w:spacing w:after="0" w:line="271" w:lineRule="auto"/>
        <w:tabs>
          <w:tab w:leader="none" w:pos="288"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Subject to the Act and to these Articles, no Director or proposed or intending Director shall be disqualified by his office from contracting with the Company, either with regard to his tenure of any office or place of profit or as vendor, purchaser or in any other manner whatsoever,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98 herein. Any such transaction that would reasonably be likely to affect a Director’s status as an “Independent Director”, or that would constitute a “related party transaction” as defined by Item 7.N of Form 20F promulgated by the SEC, shall require the approval of the Audit Committee.</w:t>
      </w:r>
    </w:p>
    <w:p>
      <w:pPr>
        <w:spacing w:after="0" w:line="178" w:lineRule="exact"/>
        <w:rPr>
          <w:rFonts w:ascii="Arial" w:cs="Arial" w:eastAsia="Arial" w:hAnsi="Arial"/>
          <w:sz w:val="17"/>
          <w:szCs w:val="17"/>
          <w:color w:val="auto"/>
        </w:rPr>
      </w:pPr>
    </w:p>
    <w:p>
      <w:pPr>
        <w:jc w:val="both"/>
        <w:ind w:firstLine="8"/>
        <w:spacing w:after="0" w:line="279" w:lineRule="auto"/>
        <w:tabs>
          <w:tab w:leader="none" w:pos="30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71"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he is a member or officer of a specified company or firm and is to be regarded as interested in any contract or arrangement which may after the date of the Notice be made with that company or firm;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he is to be regarded as interested in any contract or arrangement which may after the date of the Notice be made with a specified person who is connected with him;</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84" w:lineRule="exact"/>
        <w:rPr>
          <w:sz w:val="20"/>
          <w:szCs w:val="20"/>
          <w:color w:val="auto"/>
        </w:rPr>
      </w:pPr>
    </w:p>
    <w:p>
      <w:pPr>
        <w:jc w:val="both"/>
        <w:ind w:firstLine="8"/>
        <w:spacing w:after="0" w:line="259" w:lineRule="auto"/>
        <w:tabs>
          <w:tab w:leader="none" w:pos="2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Following a declaration being made pursuant to the last preceding two Articles, subject to any separate requirement for Audit Committee approval under applicable law or the listing rules of the Company’s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264795</wp:posOffset>
            </wp:positionV>
            <wp:extent cx="737235" cy="857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u w:val="single" w:color="auto"/>
          <w:color w:val="auto"/>
        </w:rPr>
        <w:t>GENERAL POWERS OF THE DIRECTORS</w:t>
      </w:r>
    </w:p>
    <w:p>
      <w:pPr>
        <w:spacing w:after="0" w:line="225" w:lineRule="exact"/>
        <w:rPr>
          <w:sz w:val="20"/>
          <w:szCs w:val="20"/>
          <w:color w:val="auto"/>
        </w:rPr>
      </w:pPr>
    </w:p>
    <w:p>
      <w:pPr>
        <w:jc w:val="both"/>
        <w:ind w:firstLine="8"/>
        <w:spacing w:after="0" w:line="254" w:lineRule="auto"/>
        <w:tabs>
          <w:tab w:leader="none" w:pos="366" w:val="left"/>
        </w:tabs>
        <w:numPr>
          <w:ilvl w:val="0"/>
          <w:numId w:val="69"/>
        </w:numPr>
        <w:rPr>
          <w:rFonts w:ascii="Arial" w:cs="Arial" w:eastAsia="Arial" w:hAnsi="Arial"/>
          <w:sz w:val="18"/>
          <w:szCs w:val="18"/>
          <w:color w:val="auto"/>
        </w:rPr>
      </w:pPr>
      <w:r>
        <w:rPr>
          <w:rFonts w:ascii="Arial" w:cs="Arial" w:eastAsia="Arial" w:hAnsi="Arial"/>
          <w:sz w:val="18"/>
          <w:szCs w:val="18"/>
          <w:color w:val="auto"/>
        </w:rPr>
        <w:t>(1)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person contracting or dealing with the Company in the ordinary course of business shall be entitled to rely on any written or oral contract or agreement or deed, document or instrument entered into or executed as the case may be by any two of the Directors acting jointly on behalf of the Company and the same shall be deemed to be validly entered into or executed by the Company as the case may be and shall, subject to any rule of law, be binding on the Company.</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Without prejudice to the general powers conferred by these Articles it is hereby expressly declared that the Board shall have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powers:</w:t>
      </w:r>
    </w:p>
    <w:p>
      <w:pPr>
        <w:spacing w:after="0" w:line="211" w:lineRule="exact"/>
        <w:rPr>
          <w:sz w:val="20"/>
          <w:szCs w:val="20"/>
          <w:color w:val="auto"/>
        </w:rPr>
      </w:pPr>
    </w:p>
    <w:p>
      <w:pPr>
        <w:ind w:left="1300" w:hanging="644"/>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give to any person the right or option of requiring at a future date that an allotment shall be made to him of any share at par or at such premium as may be agreed.</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resolve that the Company be deregistered in the Cayman Islands and continued in a named jurisdiction outside the Cayman Islands subject to the provisions of the Act.</w:t>
      </w:r>
    </w:p>
    <w:p>
      <w:pPr>
        <w:spacing w:after="0" w:line="170" w:lineRule="exact"/>
        <w:rPr>
          <w:rFonts w:ascii="Arial" w:cs="Arial" w:eastAsia="Arial" w:hAnsi="Arial"/>
          <w:sz w:val="18"/>
          <w:szCs w:val="18"/>
          <w:color w:val="auto"/>
        </w:rPr>
      </w:pPr>
    </w:p>
    <w:p>
      <w:pPr>
        <w:jc w:val="both"/>
        <w:ind w:firstLine="8"/>
        <w:spacing w:after="0" w:line="290" w:lineRule="auto"/>
        <w:tabs>
          <w:tab w:leader="none" w:pos="36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Board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165" w:lineRule="exact"/>
        <w:rPr>
          <w:rFonts w:ascii="Arial" w:cs="Arial" w:eastAsia="Arial" w:hAnsi="Arial"/>
          <w:sz w:val="16"/>
          <w:szCs w:val="16"/>
          <w:color w:val="auto"/>
        </w:rPr>
      </w:pPr>
    </w:p>
    <w:p>
      <w:pPr>
        <w:jc w:val="both"/>
        <w:ind w:firstLine="8"/>
        <w:spacing w:after="0" w:line="254" w:lineRule="auto"/>
        <w:tabs>
          <w:tab w:leader="none" w:pos="3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194" w:lineRule="exact"/>
        <w:rPr>
          <w:rFonts w:ascii="Arial" w:cs="Arial" w:eastAsia="Arial" w:hAnsi="Arial"/>
          <w:sz w:val="18"/>
          <w:szCs w:val="18"/>
          <w:color w:val="auto"/>
        </w:rPr>
      </w:pPr>
    </w:p>
    <w:p>
      <w:pPr>
        <w:jc w:val="both"/>
        <w:ind w:firstLine="8"/>
        <w:spacing w:after="0" w:line="259" w:lineRule="auto"/>
        <w:tabs>
          <w:tab w:leader="none" w:pos="3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Board may entrust to and confer upon a managing director, joint managing director, deputy managing director, an executive director or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186" w:lineRule="exact"/>
        <w:rPr>
          <w:rFonts w:ascii="Arial" w:cs="Arial" w:eastAsia="Arial" w:hAnsi="Arial"/>
          <w:sz w:val="18"/>
          <w:szCs w:val="18"/>
          <w:color w:val="auto"/>
        </w:rPr>
      </w:pPr>
    </w:p>
    <w:p>
      <w:pPr>
        <w:jc w:val="both"/>
        <w:ind w:firstLine="8"/>
        <w:spacing w:after="0" w:line="311" w:lineRule="auto"/>
        <w:tabs>
          <w:tab w:leader="none" w:pos="3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48" w:lineRule="exact"/>
        <w:rPr>
          <w:rFonts w:ascii="Arial" w:cs="Arial" w:eastAsia="Arial" w:hAnsi="Arial"/>
          <w:sz w:val="16"/>
          <w:szCs w:val="16"/>
          <w:color w:val="auto"/>
        </w:rPr>
      </w:pPr>
    </w:p>
    <w:p>
      <w:pPr>
        <w:jc w:val="both"/>
        <w:ind w:firstLine="8"/>
        <w:spacing w:after="0" w:line="275" w:lineRule="auto"/>
        <w:tabs>
          <w:tab w:leader="none" w:pos="381" w:val="left"/>
        </w:tabs>
        <w:numPr>
          <w:ilvl w:val="0"/>
          <w:numId w:val="71"/>
        </w:numPr>
        <w:rPr>
          <w:rFonts w:ascii="Arial" w:cs="Arial" w:eastAsia="Arial" w:hAnsi="Arial"/>
          <w:sz w:val="17"/>
          <w:szCs w:val="17"/>
          <w:color w:val="auto"/>
        </w:rPr>
      </w:pPr>
      <w:r>
        <w:rPr>
          <w:rFonts w:ascii="Arial" w:cs="Arial" w:eastAsia="Arial" w:hAnsi="Arial"/>
          <w:sz w:val="17"/>
          <w:szCs w:val="17"/>
          <w:color w:val="auto"/>
        </w:rPr>
        <w:t>(1)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257810</wp:posOffset>
            </wp:positionV>
            <wp:extent cx="737235" cy="8572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72" w:gutter="0" w:footer="0" w:header="0"/>
        </w:sectPr>
      </w:pPr>
    </w:p>
    <w:bookmarkStart w:id="37" w:name="page38"/>
    <w:bookmarkEnd w:id="37"/>
    <w:p>
      <w:pPr>
        <w:jc w:val="both"/>
        <w:ind w:firstLine="656"/>
        <w:spacing w:after="0" w:line="275" w:lineRule="auto"/>
        <w:tabs>
          <w:tab w:leader="none" w:pos="91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BORROWING POWERS</w:t>
      </w:r>
    </w:p>
    <w:p>
      <w:pPr>
        <w:spacing w:after="0" w:line="225" w:lineRule="exact"/>
        <w:rPr>
          <w:sz w:val="20"/>
          <w:szCs w:val="20"/>
          <w:color w:val="auto"/>
        </w:rPr>
      </w:pPr>
    </w:p>
    <w:p>
      <w:pPr>
        <w:jc w:val="both"/>
        <w:ind w:firstLine="8"/>
        <w:spacing w:after="0" w:line="263" w:lineRule="auto"/>
        <w:tabs>
          <w:tab w:leader="none" w:pos="3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spacing w:after="0" w:line="183" w:lineRule="exact"/>
        <w:rPr>
          <w:rFonts w:ascii="Arial" w:cs="Arial" w:eastAsia="Arial" w:hAnsi="Arial"/>
          <w:sz w:val="18"/>
          <w:szCs w:val="18"/>
          <w:color w:val="auto"/>
        </w:rPr>
      </w:pPr>
    </w:p>
    <w:p>
      <w:pPr>
        <w:ind w:right="20" w:firstLine="8"/>
        <w:spacing w:after="0" w:line="277" w:lineRule="auto"/>
        <w:tabs>
          <w:tab w:leader="none" w:pos="3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Debentures, bonds and other securities may be made assignable free from any equities between the Company and the person to whom the same may be issued.</w:t>
      </w:r>
    </w:p>
    <w:p>
      <w:pPr>
        <w:spacing w:after="0" w:line="170" w:lineRule="exact"/>
        <w:rPr>
          <w:rFonts w:ascii="Arial" w:cs="Arial" w:eastAsia="Arial" w:hAnsi="Arial"/>
          <w:sz w:val="18"/>
          <w:szCs w:val="18"/>
          <w:color w:val="auto"/>
        </w:rPr>
      </w:pPr>
    </w:p>
    <w:p>
      <w:pPr>
        <w:ind w:firstLine="8"/>
        <w:spacing w:after="0" w:line="342" w:lineRule="auto"/>
        <w:tabs>
          <w:tab w:leader="none" w:pos="366"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123" w:lineRule="exact"/>
        <w:rPr>
          <w:rFonts w:ascii="Arial" w:cs="Arial" w:eastAsia="Arial" w:hAnsi="Arial"/>
          <w:sz w:val="16"/>
          <w:szCs w:val="16"/>
          <w:color w:val="auto"/>
        </w:rPr>
      </w:pPr>
    </w:p>
    <w:p>
      <w:pPr>
        <w:ind w:firstLine="8"/>
        <w:spacing w:after="0" w:line="277" w:lineRule="auto"/>
        <w:tabs>
          <w:tab w:leader="none" w:pos="3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PROCEEDINGS OF THE DIRECTORS</w:t>
      </w:r>
    </w:p>
    <w:p>
      <w:pPr>
        <w:spacing w:after="0" w:line="225" w:lineRule="exact"/>
        <w:rPr>
          <w:sz w:val="20"/>
          <w:szCs w:val="20"/>
          <w:color w:val="auto"/>
        </w:rPr>
      </w:pPr>
    </w:p>
    <w:p>
      <w:pPr>
        <w:jc w:val="both"/>
        <w:ind w:firstLine="8"/>
        <w:spacing w:after="0" w:line="263" w:lineRule="auto"/>
        <w:tabs>
          <w:tab w:leader="none" w:pos="3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Board may meet for the despatch of business, adjourn or postpone and otherwise regulate its meetings as it considers appropriate. Questions arising at any meeting shall be determined by a majority of votes. In the case of any equality of votes the chairman of the meeting shall have an additional or casting vote.</w:t>
      </w:r>
    </w:p>
    <w:p>
      <w:pPr>
        <w:spacing w:after="0" w:line="183" w:lineRule="exact"/>
        <w:rPr>
          <w:rFonts w:ascii="Arial" w:cs="Arial" w:eastAsia="Arial" w:hAnsi="Arial"/>
          <w:sz w:val="18"/>
          <w:szCs w:val="18"/>
          <w:color w:val="auto"/>
        </w:rPr>
      </w:pPr>
    </w:p>
    <w:p>
      <w:pPr>
        <w:jc w:val="both"/>
        <w:ind w:firstLine="8"/>
        <w:spacing w:after="0" w:line="275" w:lineRule="auto"/>
        <w:tabs>
          <w:tab w:leader="none" w:pos="3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meeting of the Board may be convened by the Secretary on request of a Director or by any Director. The Secretary shall convene a meeting of the Board of which notice may be given in writing or verbally (including in person or by telephone) or by electronic means to an electronic address from time to time notified to the Company by such Director or (if the recipient consents to it being made available on a website) by making it available on a website or by telephone or in such other manner as the Board may from time to time determine whenever he shall be required so to do by the president or chairman, as the case may be, or any Director.</w:t>
      </w:r>
    </w:p>
    <w:p>
      <w:pPr>
        <w:spacing w:after="0" w:line="176" w:lineRule="exact"/>
        <w:rPr>
          <w:rFonts w:ascii="Arial" w:cs="Arial" w:eastAsia="Arial" w:hAnsi="Arial"/>
          <w:sz w:val="17"/>
          <w:szCs w:val="17"/>
          <w:color w:val="auto"/>
        </w:rPr>
      </w:pPr>
    </w:p>
    <w:p>
      <w:pPr>
        <w:jc w:val="both"/>
        <w:ind w:firstLine="8"/>
        <w:spacing w:after="0" w:line="286" w:lineRule="auto"/>
        <w:tabs>
          <w:tab w:leader="none" w:pos="3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(1) The quorum necessary for the transaction of the business of the Board may be fixed by the Board and, unless so fixed at any other number, shall be two (2). An alternate Director shall be counted in a quorum in the case of the absence of a Director for whom he is the alternate provided that he shall not be counted more than once for the purpose of determining whether or not a quorum is present.</w:t>
      </w:r>
    </w:p>
    <w:p>
      <w:pPr>
        <w:spacing w:after="0" w:line="165" w:lineRule="exact"/>
        <w:rPr>
          <w:rFonts w:ascii="Arial" w:cs="Arial" w:eastAsia="Arial" w:hAnsi="Arial"/>
          <w:sz w:val="17"/>
          <w:szCs w:val="17"/>
          <w:color w:val="auto"/>
        </w:rPr>
      </w:pPr>
    </w:p>
    <w:p>
      <w:pPr>
        <w:jc w:val="both"/>
        <w:ind w:firstLine="656"/>
        <w:spacing w:after="0" w:line="286" w:lineRule="auto"/>
        <w:tabs>
          <w:tab w:leader="none" w:pos="921"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Directors may participate in any meeting of the Board by means of a conference telephone, electronic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165" w:lineRule="exact"/>
        <w:rPr>
          <w:rFonts w:ascii="Arial" w:cs="Arial" w:eastAsia="Arial" w:hAnsi="Arial"/>
          <w:sz w:val="17"/>
          <w:szCs w:val="17"/>
          <w:color w:val="auto"/>
        </w:rPr>
      </w:pPr>
    </w:p>
    <w:p>
      <w:pPr>
        <w:ind w:firstLine="656"/>
        <w:spacing w:after="0" w:line="308" w:lineRule="auto"/>
        <w:tabs>
          <w:tab w:leader="none" w:pos="905"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146" w:lineRule="exact"/>
        <w:rPr>
          <w:rFonts w:ascii="Arial" w:cs="Arial" w:eastAsia="Arial" w:hAnsi="Arial"/>
          <w:sz w:val="17"/>
          <w:szCs w:val="17"/>
          <w:color w:val="auto"/>
        </w:rPr>
      </w:pPr>
    </w:p>
    <w:p>
      <w:pPr>
        <w:jc w:val="both"/>
        <w:ind w:firstLine="8"/>
        <w:spacing w:after="0" w:line="279"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continuing Directors or a sole continuing Director may act notwithstanding any vacancy in the Board but, if and so long as the number of Directors is reduced below the minimum number fixed by or in accordance with these Articles,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254635</wp:posOffset>
            </wp:positionV>
            <wp:extent cx="737235" cy="857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360" w:hanging="352"/>
        <w:spacing w:after="0"/>
        <w:tabs>
          <w:tab w:leader="none" w:pos="3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Chairman of the Board shall be the chairman of all meetings of the Board. If the Chairman of the Board is not present at any meeting within five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(5) minutes after the time appointed for holding the same, the Directors present may choose one of their number to be chairman of the meeting.</w:t>
      </w:r>
    </w:p>
    <w:p>
      <w:pPr>
        <w:spacing w:after="0" w:line="222" w:lineRule="exact"/>
        <w:rPr>
          <w:rFonts w:ascii="Arial" w:cs="Arial" w:eastAsia="Arial" w:hAnsi="Arial"/>
          <w:sz w:val="16"/>
          <w:szCs w:val="16"/>
          <w:color w:val="auto"/>
        </w:rPr>
      </w:pPr>
    </w:p>
    <w:p>
      <w:pPr>
        <w:ind w:firstLine="8"/>
        <w:spacing w:after="0" w:line="277" w:lineRule="auto"/>
        <w:tabs>
          <w:tab w:leader="none" w:pos="3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meeting of the Board at which a quorum is present shall be competent to exercise all the powers, authorities and discretions for the time being vested in or exercisable by the Board.</w:t>
      </w:r>
    </w:p>
    <w:p>
      <w:pPr>
        <w:spacing w:after="0" w:line="170" w:lineRule="exact"/>
        <w:rPr>
          <w:rFonts w:ascii="Arial" w:cs="Arial" w:eastAsia="Arial" w:hAnsi="Arial"/>
          <w:sz w:val="18"/>
          <w:szCs w:val="18"/>
          <w:color w:val="auto"/>
        </w:rPr>
      </w:pPr>
    </w:p>
    <w:p>
      <w:pPr>
        <w:jc w:val="both"/>
        <w:ind w:firstLine="8"/>
        <w:spacing w:after="0" w:line="279" w:lineRule="auto"/>
        <w:tabs>
          <w:tab w:leader="none" w:pos="386" w:val="left"/>
        </w:tabs>
        <w:numPr>
          <w:ilvl w:val="0"/>
          <w:numId w:val="75"/>
        </w:numPr>
        <w:rPr>
          <w:rFonts w:ascii="Arial" w:cs="Arial" w:eastAsia="Arial" w:hAnsi="Arial"/>
          <w:sz w:val="17"/>
          <w:szCs w:val="17"/>
          <w:color w:val="auto"/>
        </w:rPr>
      </w:pPr>
      <w:r>
        <w:rPr>
          <w:rFonts w:ascii="Arial" w:cs="Arial" w:eastAsia="Arial" w:hAnsi="Arial"/>
          <w:sz w:val="17"/>
          <w:szCs w:val="17"/>
          <w:color w:val="auto"/>
        </w:rPr>
        <w:t>(1) 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171" w:lineRule="exact"/>
        <w:rPr>
          <w:rFonts w:ascii="Arial" w:cs="Arial" w:eastAsia="Arial" w:hAnsi="Arial"/>
          <w:sz w:val="17"/>
          <w:szCs w:val="17"/>
          <w:color w:val="auto"/>
        </w:rPr>
      </w:pPr>
    </w:p>
    <w:p>
      <w:pPr>
        <w:jc w:val="both"/>
        <w:ind w:firstLine="656"/>
        <w:spacing w:after="0" w:line="286" w:lineRule="auto"/>
        <w:tabs>
          <w:tab w:leader="none" w:pos="905"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spacing w:after="0" w:line="165" w:lineRule="exact"/>
        <w:rPr>
          <w:rFonts w:ascii="Arial" w:cs="Arial" w:eastAsia="Arial" w:hAnsi="Arial"/>
          <w:sz w:val="17"/>
          <w:szCs w:val="17"/>
          <w:color w:val="auto"/>
        </w:rPr>
      </w:pPr>
    </w:p>
    <w:p>
      <w:pPr>
        <w:jc w:val="both"/>
        <w:ind w:firstLine="8"/>
        <w:spacing w:after="0" w:line="259" w:lineRule="auto"/>
        <w:tabs>
          <w:tab w:leader="none" w:pos="3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spacing w:after="0" w:line="186" w:lineRule="exact"/>
        <w:rPr>
          <w:rFonts w:ascii="Arial" w:cs="Arial" w:eastAsia="Arial" w:hAnsi="Arial"/>
          <w:sz w:val="18"/>
          <w:szCs w:val="18"/>
          <w:color w:val="auto"/>
        </w:rPr>
      </w:pPr>
    </w:p>
    <w:p>
      <w:pPr>
        <w:jc w:val="both"/>
        <w:ind w:firstLine="8"/>
        <w:spacing w:after="0" w:line="291" w:lineRule="auto"/>
        <w:tabs>
          <w:tab w:leader="none" w:pos="3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A notification of consent to such resolution given by a Director in writing to the Board by any means (including by means of electronic communication) shall be deemed to be his/her signature to such resolution in writing for the purpose of this Article. Such resolution may be contained in one document or in several documents in like form each signed by one or more of the Directors and for this purpose a facsimile signature of a Director shall be treated as valid.</w:t>
      </w:r>
    </w:p>
    <w:p>
      <w:pPr>
        <w:spacing w:after="0" w:line="166" w:lineRule="exact"/>
        <w:rPr>
          <w:rFonts w:ascii="Arial" w:cs="Arial" w:eastAsia="Arial" w:hAnsi="Arial"/>
          <w:sz w:val="16"/>
          <w:szCs w:val="16"/>
          <w:color w:val="auto"/>
        </w:rPr>
      </w:pPr>
    </w:p>
    <w:p>
      <w:pPr>
        <w:jc w:val="both"/>
        <w:ind w:firstLine="8"/>
        <w:spacing w:after="0" w:line="259" w:lineRule="auto"/>
        <w:tabs>
          <w:tab w:leader="none" w:pos="3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jc w:val="both"/>
        <w:ind w:firstLine="8"/>
        <w:spacing w:after="0" w:line="286" w:lineRule="auto"/>
        <w:tabs>
          <w:tab w:leader="none" w:pos="366" w:val="left"/>
        </w:tabs>
        <w:numPr>
          <w:ilvl w:val="0"/>
          <w:numId w:val="76"/>
        </w:numPr>
        <w:rPr>
          <w:rFonts w:ascii="Arial" w:cs="Arial" w:eastAsia="Arial" w:hAnsi="Arial"/>
          <w:sz w:val="17"/>
          <w:szCs w:val="17"/>
          <w:color w:val="auto"/>
        </w:rPr>
      </w:pPr>
      <w:r>
        <w:rPr>
          <w:rFonts w:ascii="Arial" w:cs="Arial" w:eastAsia="Arial" w:hAnsi="Arial"/>
          <w:sz w:val="17"/>
          <w:szCs w:val="17"/>
          <w:color w:val="auto"/>
        </w:rPr>
        <w:t>Without prejudice to the freedom of the Directors to establish any other committees, for so long as the shares of the Company are listed or quoted on the Designated Stock Exchange, the Board shall establish and maintain an Audit Committee as a committee of the Board, the composition and responsibilities of which shall comply with the rules of the Designated Stock Exchange and the rules and regulations of the SEC.</w:t>
      </w:r>
    </w:p>
    <w:p>
      <w:pPr>
        <w:spacing w:after="0" w:line="165" w:lineRule="exact"/>
        <w:rPr>
          <w:rFonts w:ascii="Arial" w:cs="Arial" w:eastAsia="Arial" w:hAnsi="Arial"/>
          <w:sz w:val="17"/>
          <w:szCs w:val="17"/>
          <w:color w:val="auto"/>
        </w:rPr>
      </w:pPr>
    </w:p>
    <w:p>
      <w:pPr>
        <w:ind w:left="360" w:hanging="352"/>
        <w:spacing w:after="0"/>
        <w:tabs>
          <w:tab w:leader="none" w:pos="3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Board shall adopt a formal written audit committee charter and review and assess the adequacy of the formal written charter on an annual basis.</w:t>
      </w:r>
    </w:p>
    <w:p>
      <w:pPr>
        <w:spacing w:after="0" w:line="248" w:lineRule="exact"/>
        <w:rPr>
          <w:rFonts w:ascii="Arial" w:cs="Arial" w:eastAsia="Arial" w:hAnsi="Arial"/>
          <w:sz w:val="16"/>
          <w:szCs w:val="16"/>
          <w:color w:val="auto"/>
        </w:rPr>
      </w:pPr>
    </w:p>
    <w:p>
      <w:pPr>
        <w:ind w:left="5200"/>
        <w:spacing w:after="0"/>
        <w:rPr>
          <w:rFonts w:ascii="Arial" w:cs="Arial" w:eastAsia="Arial" w:hAnsi="Arial"/>
          <w:sz w:val="16"/>
          <w:szCs w:val="16"/>
          <w:color w:val="auto"/>
        </w:rPr>
      </w:pPr>
      <w:r>
        <w:rPr>
          <w:rFonts w:ascii="Arial" w:cs="Arial" w:eastAsia="Arial" w:hAnsi="Arial"/>
          <w:sz w:val="18"/>
          <w:szCs w:val="18"/>
          <w:u w:val="single" w:color="auto"/>
          <w:color w:val="auto"/>
        </w:rPr>
        <w:t>OFFICERS</w:t>
      </w:r>
    </w:p>
    <w:p>
      <w:pPr>
        <w:spacing w:after="0" w:line="225" w:lineRule="exact"/>
        <w:rPr>
          <w:rFonts w:ascii="Arial" w:cs="Arial" w:eastAsia="Arial" w:hAnsi="Arial"/>
          <w:sz w:val="16"/>
          <w:szCs w:val="16"/>
          <w:color w:val="auto"/>
        </w:rPr>
      </w:pPr>
    </w:p>
    <w:p>
      <w:pPr>
        <w:ind w:firstLine="8"/>
        <w:spacing w:after="0" w:line="342" w:lineRule="auto"/>
        <w:tabs>
          <w:tab w:leader="none" w:pos="361" w:val="left"/>
        </w:tabs>
        <w:numPr>
          <w:ilvl w:val="0"/>
          <w:numId w:val="76"/>
        </w:numPr>
        <w:rPr>
          <w:rFonts w:ascii="Arial" w:cs="Arial" w:eastAsia="Arial" w:hAnsi="Arial"/>
          <w:sz w:val="16"/>
          <w:szCs w:val="16"/>
          <w:color w:val="auto"/>
        </w:rPr>
      </w:pPr>
      <w:r>
        <w:rPr>
          <w:rFonts w:ascii="Arial" w:cs="Arial" w:eastAsia="Arial" w:hAnsi="Arial"/>
          <w:sz w:val="16"/>
          <w:szCs w:val="16"/>
          <w:color w:val="auto"/>
        </w:rPr>
        <w:t>(1) The officers of the Company shall consist of the Chairman of the Board, the Directors and Secretary and such additional officers (who may or may not be Directors) as the Board may from time to time determine, all of whom shall be deemed to be officers for the purposes of the Act and these Articles.</w:t>
      </w:r>
    </w:p>
    <w:p>
      <w:pPr>
        <w:spacing w:after="0" w:line="123" w:lineRule="exact"/>
        <w:rPr>
          <w:rFonts w:ascii="Arial" w:cs="Arial" w:eastAsia="Arial" w:hAnsi="Arial"/>
          <w:sz w:val="16"/>
          <w:szCs w:val="16"/>
          <w:color w:val="auto"/>
        </w:rPr>
      </w:pPr>
    </w:p>
    <w:p>
      <w:pPr>
        <w:ind w:firstLine="656"/>
        <w:spacing w:after="0" w:line="308" w:lineRule="auto"/>
        <w:tabs>
          <w:tab w:leader="none" w:pos="903"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Directors shall, as soon as may be after each appointment or election of Directors, elect amongst the Directors a chairman and if more than one Director is proposed for this office, the election to such office shall take place in such manner as the Directors may determine.</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officers shall receive such remuneration as the Directors may from time to time determine.</w:t>
      </w:r>
    </w:p>
    <w:p>
      <w:pPr>
        <w:spacing w:after="0" w:line="225" w:lineRule="exact"/>
        <w:rPr>
          <w:rFonts w:ascii="Arial" w:cs="Arial" w:eastAsia="Arial" w:hAnsi="Arial"/>
          <w:sz w:val="18"/>
          <w:szCs w:val="18"/>
          <w:color w:val="auto"/>
        </w:rPr>
      </w:pPr>
    </w:p>
    <w:p>
      <w:pPr>
        <w:jc w:val="both"/>
        <w:ind w:firstLine="8"/>
        <w:spacing w:after="0" w:line="263"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 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spacing w:after="0" w:line="183" w:lineRule="exact"/>
        <w:rPr>
          <w:rFonts w:ascii="Arial" w:cs="Arial" w:eastAsia="Arial" w:hAnsi="Arial"/>
          <w:sz w:val="18"/>
          <w:szCs w:val="18"/>
          <w:color w:val="auto"/>
        </w:rPr>
      </w:pPr>
    </w:p>
    <w:p>
      <w:pPr>
        <w:ind w:right="20" w:firstLine="656"/>
        <w:spacing w:after="0" w:line="342" w:lineRule="auto"/>
        <w:tabs>
          <w:tab w:leader="none" w:pos="90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224790</wp:posOffset>
            </wp:positionV>
            <wp:extent cx="737235" cy="857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888" w:gutter="0" w:footer="0" w:header="0"/>
        </w:sectPr>
      </w:pPr>
    </w:p>
    <w:bookmarkStart w:id="39" w:name="page40"/>
    <w:bookmarkEnd w:id="39"/>
    <w:p>
      <w:pPr>
        <w:ind w:firstLine="8"/>
        <w:spacing w:after="0" w:line="277" w:lineRule="auto"/>
        <w:tabs>
          <w:tab w:leader="none" w:pos="37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officers of the Company shall have such powers and perform such duties in the management, business and affairs of the Company as may be delegated to them by the Directors from time to time.</w:t>
      </w:r>
    </w:p>
    <w:p>
      <w:pPr>
        <w:spacing w:after="0" w:line="170" w:lineRule="exact"/>
        <w:rPr>
          <w:rFonts w:ascii="Arial" w:cs="Arial" w:eastAsia="Arial" w:hAnsi="Arial"/>
          <w:sz w:val="18"/>
          <w:szCs w:val="18"/>
          <w:color w:val="auto"/>
        </w:rPr>
      </w:pPr>
    </w:p>
    <w:p>
      <w:pPr>
        <w:ind w:right="20" w:firstLine="8"/>
        <w:spacing w:after="0" w:line="277" w:lineRule="auto"/>
        <w:tabs>
          <w:tab w:leader="none" w:pos="3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provision of the Act or of these Articles requiring or authorising a thing to be done by or to a Director and the Secretary shall not be satisfied by its being done by or to the same person acting both as Director and as or in place of the Secretary.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 OF DIRECTORS AND OFFICERS</w:t>
      </w:r>
    </w:p>
    <w:p>
      <w:pPr>
        <w:spacing w:after="0" w:line="225" w:lineRule="exact"/>
        <w:rPr>
          <w:sz w:val="20"/>
          <w:szCs w:val="20"/>
          <w:color w:val="auto"/>
        </w:rPr>
      </w:pPr>
    </w:p>
    <w:p>
      <w:pPr>
        <w:jc w:val="both"/>
        <w:ind w:firstLine="8"/>
        <w:spacing w:after="0" w:line="259"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MINUTES</w:t>
      </w:r>
    </w:p>
    <w:p>
      <w:pPr>
        <w:spacing w:after="0" w:line="225"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 The Board shall cause minutes to be duly entered in books provided for the purpose: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of all elections and appointments of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of the names of the Directors present at each meeting of the Directors and of any committee of the Directors;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of all resolutions and proceedings of each general meeting of the Members, meetings of the Board and meetings of committees of the Board and where there are managers, of all proceedings of meetings of the managers.</w:t>
      </w:r>
    </w:p>
    <w:p>
      <w:pPr>
        <w:spacing w:after="0" w:line="170"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Minutes shall be kept by the Secretary at the Office.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SEAL</w:t>
      </w:r>
    </w:p>
    <w:p>
      <w:pPr>
        <w:spacing w:after="0" w:line="225" w:lineRule="exact"/>
        <w:rPr>
          <w:sz w:val="20"/>
          <w:szCs w:val="20"/>
          <w:color w:val="auto"/>
        </w:rPr>
      </w:pPr>
    </w:p>
    <w:p>
      <w:pPr>
        <w:jc w:val="both"/>
        <w:ind w:firstLine="8"/>
        <w:spacing w:after="0" w:line="270" w:lineRule="auto"/>
        <w:tabs>
          <w:tab w:leader="none" w:pos="3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and the Secretary or by two Directors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shall be deemed to be sealed and executed with the authority of the Board previously given.</w:t>
      </w:r>
    </w:p>
    <w:p>
      <w:pPr>
        <w:spacing w:after="0" w:line="180" w:lineRule="exact"/>
        <w:rPr>
          <w:rFonts w:ascii="Arial" w:cs="Arial" w:eastAsia="Arial" w:hAnsi="Arial"/>
          <w:sz w:val="17"/>
          <w:szCs w:val="17"/>
          <w:color w:val="auto"/>
        </w:rPr>
      </w:pPr>
    </w:p>
    <w:p>
      <w:pPr>
        <w:jc w:val="both"/>
        <w:ind w:firstLine="656"/>
        <w:spacing w:after="0" w:line="259" w:lineRule="auto"/>
        <w:tabs>
          <w:tab w:leader="none" w:pos="906"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AUTHENTICATION OF DOCUMENTS</w:t>
      </w:r>
    </w:p>
    <w:p>
      <w:pPr>
        <w:spacing w:after="0" w:line="225" w:lineRule="exact"/>
        <w:rPr>
          <w:sz w:val="20"/>
          <w:szCs w:val="20"/>
          <w:color w:val="auto"/>
        </w:rPr>
      </w:pPr>
    </w:p>
    <w:p>
      <w:pPr>
        <w:jc w:val="both"/>
        <w:ind w:firstLine="8"/>
        <w:spacing w:after="0" w:line="254" w:lineRule="auto"/>
        <w:tabs>
          <w:tab w:leader="none" w:pos="3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267970</wp:posOffset>
            </wp:positionV>
            <wp:extent cx="737235" cy="8572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u w:val="single" w:color="auto"/>
          <w:color w:val="auto"/>
        </w:rPr>
        <w:t>DESTRUCTION OF DOCUMENTS</w:t>
      </w:r>
    </w:p>
    <w:p>
      <w:pPr>
        <w:spacing w:after="0" w:line="225"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 The Company shall be entitled to destroy the following documents at the following times: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share certificate which has been cancelled at any time after the expiry of one (1) year from the date of such cancellation;</w:t>
      </w:r>
    </w:p>
    <w:p>
      <w:pPr>
        <w:spacing w:after="0" w:line="225" w:lineRule="exact"/>
        <w:rPr>
          <w:rFonts w:ascii="Arial" w:cs="Arial" w:eastAsia="Arial" w:hAnsi="Arial"/>
          <w:sz w:val="18"/>
          <w:szCs w:val="18"/>
          <w:color w:val="auto"/>
        </w:rPr>
      </w:pPr>
    </w:p>
    <w:p>
      <w:pPr>
        <w:ind w:left="1300" w:right="20" w:hanging="644"/>
        <w:spacing w:after="0" w:line="308" w:lineRule="auto"/>
        <w:tabs>
          <w:tab w:leader="none" w:pos="13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instrument of transfer of shares which has been registered at any time after the expiry of seven (7) years from the date of registration;</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allotment letters after the expiry of seven (7) years from the date of issue thereof; and</w:t>
      </w:r>
    </w:p>
    <w:p>
      <w:pPr>
        <w:spacing w:after="0" w:line="225" w:lineRule="exact"/>
        <w:rPr>
          <w:rFonts w:ascii="Arial" w:cs="Arial" w:eastAsia="Arial" w:hAnsi="Arial"/>
          <w:sz w:val="18"/>
          <w:szCs w:val="18"/>
          <w:color w:val="auto"/>
        </w:rPr>
      </w:pPr>
    </w:p>
    <w:p>
      <w:pPr>
        <w:ind w:left="1300" w:right="20" w:hanging="644"/>
        <w:spacing w:after="0" w:line="308" w:lineRule="auto"/>
        <w:tabs>
          <w:tab w:leader="none" w:pos="13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14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this Article shall apply only to the destruction of a document in good faith and without express notice to the Company that the preservation of such document was relevant to a claim; (2) nothing contained in this Article shall be construed as imposing upon the Company any liability in respect of the destruction of any such document earlier than as aforesaid or in any case where the conditions of proviso (1) above are not fulfilled; and (3) references in this Article to the destruction of any document include references to its disposal in any manner.</w:t>
      </w:r>
    </w:p>
    <w:p>
      <w:pPr>
        <w:spacing w:after="0" w:line="165" w:lineRule="exact"/>
        <w:rPr>
          <w:sz w:val="20"/>
          <w:szCs w:val="20"/>
          <w:color w:val="auto"/>
        </w:rPr>
      </w:pPr>
    </w:p>
    <w:p>
      <w:pPr>
        <w:jc w:val="both"/>
        <w:ind w:firstLine="656"/>
        <w:spacing w:after="0" w:line="257" w:lineRule="auto"/>
        <w:tabs>
          <w:tab w:leader="none" w:pos="9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provision contained in these Articles, the Directors may, if permitted by applicable law, authorise the destruction of documents set out in sub-paragraphs (a) to (e) of paragraph (1) of this Article and any other documents in relation to share registration which have been microfilmed or electronically stored by the Company or by the share registrar on its behalf provided always that this Article shall apply only to the destruction of a document in good faith and without express notice to the Company and its share registrar that the preservation of such document was relevant to a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265430</wp:posOffset>
            </wp:positionV>
            <wp:extent cx="737235" cy="8572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u w:val="single" w:color="auto"/>
          <w:color w:val="auto"/>
        </w:rPr>
        <w:t>DIVIDENDS AND OTHER PAYMENTS</w:t>
      </w:r>
    </w:p>
    <w:p>
      <w:pPr>
        <w:spacing w:after="0" w:line="225"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the Act, the Board may from time to time declare dividends in any currency to be paid to the Members.</w:t>
      </w:r>
    </w:p>
    <w:p>
      <w:pPr>
        <w:spacing w:after="0" w:line="225" w:lineRule="exact"/>
        <w:rPr>
          <w:rFonts w:ascii="Arial" w:cs="Arial" w:eastAsia="Arial" w:hAnsi="Arial"/>
          <w:sz w:val="18"/>
          <w:szCs w:val="18"/>
          <w:color w:val="auto"/>
        </w:rPr>
      </w:pPr>
    </w:p>
    <w:p>
      <w:pPr>
        <w:jc w:val="both"/>
        <w:ind w:firstLine="8"/>
        <w:spacing w:after="0" w:line="263" w:lineRule="auto"/>
        <w:tabs>
          <w:tab w:leader="none" w:pos="3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in so far as the rights attaching to, or the terms of issue of, any share otherwise provide:</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dividends shall be declared and paid according to the amounts paid up on the shares in respect of which the dividend is paid, but no amount paid up on a share in advance of calls shall be treated for the purposes of this Article as paid up on the share;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dividends shall be apportioned and paid pro rata according to the amounts paid up on the shares during any portion or portions of the period in respect of which the dividend is paid.</w:t>
      </w:r>
    </w:p>
    <w:p>
      <w:pPr>
        <w:spacing w:after="0" w:line="170" w:lineRule="exact"/>
        <w:rPr>
          <w:rFonts w:ascii="Arial" w:cs="Arial" w:eastAsia="Arial" w:hAnsi="Arial"/>
          <w:sz w:val="18"/>
          <w:szCs w:val="18"/>
          <w:color w:val="auto"/>
        </w:rPr>
      </w:pPr>
    </w:p>
    <w:p>
      <w:pPr>
        <w:jc w:val="both"/>
        <w:ind w:firstLine="8"/>
        <w:spacing w:after="0" w:line="291" w:lineRule="auto"/>
        <w:tabs>
          <w:tab w:leader="none" w:pos="3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166" w:lineRule="exact"/>
        <w:rPr>
          <w:rFonts w:ascii="Arial" w:cs="Arial" w:eastAsia="Arial" w:hAnsi="Arial"/>
          <w:sz w:val="16"/>
          <w:szCs w:val="16"/>
          <w:color w:val="auto"/>
        </w:rPr>
      </w:pPr>
    </w:p>
    <w:p>
      <w:pPr>
        <w:ind w:firstLine="8"/>
        <w:spacing w:after="0" w:line="277" w:lineRule="auto"/>
        <w:tabs>
          <w:tab w:leader="none" w:pos="3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Board may deduct from any dividend or other moneys payable to a Member by the Company on or in respect of any shares all sums of money (if any) presently payable by him to the Company on account of calls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254635</wp:posOffset>
            </wp:positionV>
            <wp:extent cx="737235" cy="857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352" w:hanging="352"/>
        <w:spacing w:after="0"/>
        <w:tabs>
          <w:tab w:leader="none" w:pos="3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dividend or other moneys payable by the Company on or in respect of any share shall bear interest against the Company.</w:t>
      </w:r>
    </w:p>
    <w:p>
      <w:pPr>
        <w:spacing w:after="0" w:line="225" w:lineRule="exact"/>
        <w:rPr>
          <w:rFonts w:ascii="Arial" w:cs="Arial" w:eastAsia="Arial" w:hAnsi="Arial"/>
          <w:sz w:val="18"/>
          <w:szCs w:val="18"/>
          <w:color w:val="auto"/>
        </w:rPr>
      </w:pPr>
    </w:p>
    <w:p>
      <w:pPr>
        <w:jc w:val="both"/>
        <w:ind w:left="-8" w:firstLine="8"/>
        <w:spacing w:after="0" w:line="271" w:lineRule="auto"/>
        <w:tabs>
          <w:tab w:leader="none" w:pos="361"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spacing w:after="0" w:line="178" w:lineRule="exact"/>
        <w:rPr>
          <w:rFonts w:ascii="Arial" w:cs="Arial" w:eastAsia="Arial" w:hAnsi="Arial"/>
          <w:sz w:val="17"/>
          <w:szCs w:val="17"/>
          <w:color w:val="auto"/>
        </w:rPr>
      </w:pPr>
    </w:p>
    <w:p>
      <w:pPr>
        <w:jc w:val="both"/>
        <w:ind w:left="-8" w:firstLine="8"/>
        <w:spacing w:after="0" w:line="259" w:lineRule="auto"/>
        <w:tabs>
          <w:tab w:leader="none" w:pos="3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186" w:lineRule="exact"/>
        <w:rPr>
          <w:rFonts w:ascii="Arial" w:cs="Arial" w:eastAsia="Arial" w:hAnsi="Arial"/>
          <w:sz w:val="18"/>
          <w:szCs w:val="18"/>
          <w:color w:val="auto"/>
        </w:rPr>
      </w:pPr>
    </w:p>
    <w:p>
      <w:pPr>
        <w:jc w:val="both"/>
        <w:ind w:left="-8" w:firstLine="8"/>
        <w:spacing w:after="0" w:line="269" w:lineRule="auto"/>
        <w:tabs>
          <w:tab w:leader="none" w:pos="367" w:val="left"/>
        </w:tabs>
        <w:numPr>
          <w:ilvl w:val="0"/>
          <w:numId w:val="86"/>
        </w:numPr>
        <w:rPr>
          <w:rFonts w:ascii="Arial" w:cs="Arial" w:eastAsia="Arial" w:hAnsi="Arial"/>
          <w:sz w:val="17"/>
          <w:szCs w:val="17"/>
          <w:color w:val="auto"/>
        </w:rPr>
      </w:pPr>
      <w:r>
        <w:rPr>
          <w:rFonts w:ascii="Arial" w:cs="Arial" w:eastAsia="Arial" w:hAnsi="Arial"/>
          <w:sz w:val="17"/>
          <w:szCs w:val="17"/>
          <w:color w:val="auto"/>
        </w:rPr>
        <w:t>Whenever the Board or the Company in general meeting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259715</wp:posOffset>
            </wp:positionV>
            <wp:extent cx="737235" cy="857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3" w:name="page44"/>
    <w:bookmarkEnd w:id="43"/>
    <w:p>
      <w:pPr>
        <w:ind w:left="-8" w:firstLine="8"/>
        <w:spacing w:after="0" w:line="277" w:lineRule="auto"/>
        <w:tabs>
          <w:tab w:leader="none" w:pos="3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Whenever the Board or the Company in general meeting has resolved that a dividend be paid or declared on any class of the share capital of the Company, the Board may further resolve either:</w:t>
      </w:r>
    </w:p>
    <w:p>
      <w:pPr>
        <w:spacing w:after="0" w:line="170" w:lineRule="exact"/>
        <w:rPr>
          <w:rFonts w:ascii="Arial" w:cs="Arial" w:eastAsia="Arial" w:hAnsi="Arial"/>
          <w:sz w:val="18"/>
          <w:szCs w:val="18"/>
          <w:color w:val="auto"/>
        </w:rPr>
      </w:pPr>
    </w:p>
    <w:p>
      <w:pPr>
        <w:jc w:val="both"/>
        <w:ind w:left="1292" w:hanging="644"/>
        <w:spacing w:after="0" w:line="263" w:lineRule="auto"/>
        <w:tabs>
          <w:tab w:leader="none" w:pos="12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spacing w:after="0" w:line="183" w:lineRule="exact"/>
        <w:rPr>
          <w:rFonts w:ascii="Arial" w:cs="Arial" w:eastAsia="Arial" w:hAnsi="Arial"/>
          <w:sz w:val="18"/>
          <w:szCs w:val="18"/>
          <w:color w:val="auto"/>
        </w:rPr>
      </w:pPr>
    </w:p>
    <w:p>
      <w:pPr>
        <w:ind w:left="1952" w:hanging="656"/>
        <w:spacing w:after="0"/>
        <w:tabs>
          <w:tab w:leader="none" w:pos="1952"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basis of any such allotment shall be determined by the Board;</w:t>
      </w:r>
    </w:p>
    <w:p>
      <w:pPr>
        <w:spacing w:after="0" w:line="225" w:lineRule="exact"/>
        <w:rPr>
          <w:rFonts w:ascii="Arial" w:cs="Arial" w:eastAsia="Arial" w:hAnsi="Arial"/>
          <w:sz w:val="18"/>
          <w:szCs w:val="18"/>
          <w:color w:val="auto"/>
        </w:rPr>
      </w:pPr>
    </w:p>
    <w:p>
      <w:pPr>
        <w:jc w:val="both"/>
        <w:ind w:left="1952" w:hanging="656"/>
        <w:spacing w:after="0" w:line="259" w:lineRule="auto"/>
        <w:tabs>
          <w:tab w:leader="none" w:pos="1952"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86" w:lineRule="exact"/>
        <w:rPr>
          <w:rFonts w:ascii="Arial" w:cs="Arial" w:eastAsia="Arial" w:hAnsi="Arial"/>
          <w:sz w:val="18"/>
          <w:szCs w:val="18"/>
          <w:color w:val="auto"/>
        </w:rPr>
      </w:pPr>
    </w:p>
    <w:p>
      <w:pPr>
        <w:ind w:left="1952" w:hanging="656"/>
        <w:spacing w:after="0" w:line="277" w:lineRule="auto"/>
        <w:tabs>
          <w:tab w:leader="none" w:pos="1952"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right of election may be exercised in respect of the whole or part of that portion of the dividend in respect of which the right of election has been accorded; and</w:t>
      </w:r>
    </w:p>
    <w:p>
      <w:pPr>
        <w:spacing w:after="0" w:line="170" w:lineRule="exact"/>
        <w:rPr>
          <w:rFonts w:ascii="Arial" w:cs="Arial" w:eastAsia="Arial" w:hAnsi="Arial"/>
          <w:sz w:val="18"/>
          <w:szCs w:val="18"/>
          <w:color w:val="auto"/>
        </w:rPr>
      </w:pPr>
    </w:p>
    <w:p>
      <w:pPr>
        <w:jc w:val="both"/>
        <w:ind w:left="1952" w:hanging="656"/>
        <w:spacing w:after="0" w:line="271" w:lineRule="auto"/>
        <w:tabs>
          <w:tab w:leader="none" w:pos="1952" w:val="left"/>
        </w:tabs>
        <w:numPr>
          <w:ilvl w:val="2"/>
          <w:numId w:val="87"/>
        </w:numPr>
        <w:rPr>
          <w:rFonts w:ascii="Arial" w:cs="Arial" w:eastAsia="Arial" w:hAnsi="Arial"/>
          <w:sz w:val="17"/>
          <w:szCs w:val="17"/>
          <w:color w:val="auto"/>
        </w:rPr>
      </w:pPr>
      <w:r>
        <w:rPr>
          <w:rFonts w:ascii="Arial" w:cs="Arial" w:eastAsia="Arial" w:hAnsi="Arial"/>
          <w:sz w:val="17"/>
          <w:szCs w:val="17"/>
          <w:color w:val="auto"/>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defined below)) as the Board may determine, such sum as may be required to pay up in full the appropriate number of shares of the relevant class for allotment and distribution to and amongst the holders of the non-elected shares on such basis; or</w:t>
      </w:r>
    </w:p>
    <w:p>
      <w:pPr>
        <w:spacing w:after="0" w:line="178"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that the Members entitled to such dividend shall be entitled to elect to receive an allotment of shares credited as fully paid up in lieu of the whole or such part of the dividend as the Board may think fit. In such case, the following provisions shall apply:</w:t>
      </w:r>
    </w:p>
    <w:p>
      <w:pPr>
        <w:spacing w:after="0" w:line="170" w:lineRule="exact"/>
        <w:rPr>
          <w:rFonts w:ascii="Arial" w:cs="Arial" w:eastAsia="Arial" w:hAnsi="Arial"/>
          <w:sz w:val="18"/>
          <w:szCs w:val="18"/>
          <w:color w:val="auto"/>
        </w:rPr>
      </w:pPr>
    </w:p>
    <w:p>
      <w:pPr>
        <w:ind w:left="1952" w:hanging="656"/>
        <w:spacing w:after="0"/>
        <w:tabs>
          <w:tab w:leader="none" w:pos="1952"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basis of any such allotment shall be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288925</wp:posOffset>
            </wp:positionV>
            <wp:extent cx="737235" cy="8572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4" w:name="page45"/>
    <w:bookmarkEnd w:id="44"/>
    <w:p>
      <w:pPr>
        <w:jc w:val="both"/>
        <w:ind w:left="1304" w:hanging="656"/>
        <w:spacing w:after="0" w:line="259" w:lineRule="auto"/>
        <w:tabs>
          <w:tab w:leader="none" w:pos="13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86" w:lineRule="exact"/>
        <w:rPr>
          <w:rFonts w:ascii="Arial" w:cs="Arial" w:eastAsia="Arial" w:hAnsi="Arial"/>
          <w:sz w:val="18"/>
          <w:szCs w:val="18"/>
          <w:color w:val="auto"/>
        </w:rPr>
      </w:pPr>
    </w:p>
    <w:p>
      <w:pPr>
        <w:ind w:left="1304" w:hanging="656"/>
        <w:spacing w:after="0" w:line="277" w:lineRule="auto"/>
        <w:tabs>
          <w:tab w:leader="none" w:pos="13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right of election may be exercised in respect of the whole or part of that portion of the dividend in respect of which the right of election has been accorded; and</w:t>
      </w:r>
    </w:p>
    <w:p>
      <w:pPr>
        <w:spacing w:after="0" w:line="170" w:lineRule="exact"/>
        <w:rPr>
          <w:rFonts w:ascii="Arial" w:cs="Arial" w:eastAsia="Arial" w:hAnsi="Arial"/>
          <w:sz w:val="18"/>
          <w:szCs w:val="18"/>
          <w:color w:val="auto"/>
        </w:rPr>
      </w:pPr>
    </w:p>
    <w:p>
      <w:pPr>
        <w:jc w:val="both"/>
        <w:ind w:left="1304" w:hanging="656"/>
        <w:spacing w:after="0" w:line="271" w:lineRule="auto"/>
        <w:tabs>
          <w:tab w:leader="none" w:pos="1304"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defined below)) as the Board may determine, such sum as may be required to pay up in full the appropriate number of shares of the relevant class for allotment and distribution to and amongst the holders of the elected shares on such basis.</w:t>
      </w:r>
    </w:p>
    <w:p>
      <w:pPr>
        <w:spacing w:after="0" w:line="178" w:lineRule="exact"/>
        <w:rPr>
          <w:rFonts w:ascii="Arial" w:cs="Arial" w:eastAsia="Arial" w:hAnsi="Arial"/>
          <w:sz w:val="17"/>
          <w:szCs w:val="17"/>
          <w:color w:val="auto"/>
        </w:rPr>
      </w:pPr>
    </w:p>
    <w:p>
      <w:pPr>
        <w:ind w:left="1304" w:hanging="1304"/>
        <w:spacing w:after="0" w:line="291" w:lineRule="auto"/>
        <w:tabs>
          <w:tab w:leader="none" w:pos="6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shares allotted pursuant to the provisions of paragraph (1) of this Article shall rank pari passu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(1) of this Article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p>
      <w:pPr>
        <w:spacing w:after="0" w:line="166" w:lineRule="exact"/>
        <w:rPr>
          <w:sz w:val="20"/>
          <w:szCs w:val="20"/>
          <w:color w:val="auto"/>
        </w:rPr>
      </w:pPr>
    </w:p>
    <w:p>
      <w:pPr>
        <w:jc w:val="both"/>
        <w:ind w:left="1304" w:hanging="656"/>
        <w:spacing w:after="0" w:line="291" w:lineRule="auto"/>
        <w:tabs>
          <w:tab w:leader="none" w:pos="130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Board may do all acts and things considered necessary or expedient to give effect to any capitalisation pursuant to the provisions of paragraph (1)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252095</wp:posOffset>
            </wp:positionV>
            <wp:extent cx="737235" cy="857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44"/>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5" w:name="page46"/>
    <w:bookmarkEnd w:id="45"/>
    <w:p>
      <w:pPr>
        <w:jc w:val="both"/>
        <w:ind w:firstLine="656"/>
        <w:spacing w:after="0" w:line="286" w:lineRule="auto"/>
        <w:tabs>
          <w:tab w:leader="none" w:pos="9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 may upon the recommendation of the Board by ordinary resolution resolve in respect of any one particular dividend of the Company that notwithstanding the provisions of paragraph (1) of this Article a dividend may be satisfied wholly in the form of an allotment of shares credited as fully paid up without offering any right to shareholders to elect to receive such dividend in cash in lieu of such allotment.</w:t>
      </w:r>
    </w:p>
    <w:p>
      <w:pPr>
        <w:spacing w:after="0" w:line="165" w:lineRule="exact"/>
        <w:rPr>
          <w:rFonts w:ascii="Arial" w:cs="Arial" w:eastAsia="Arial" w:hAnsi="Arial"/>
          <w:sz w:val="17"/>
          <w:szCs w:val="17"/>
          <w:color w:val="auto"/>
        </w:rPr>
      </w:pPr>
    </w:p>
    <w:p>
      <w:pPr>
        <w:jc w:val="both"/>
        <w:ind w:firstLine="656"/>
        <w:spacing w:after="0" w:line="275" w:lineRule="auto"/>
        <w:tabs>
          <w:tab w:leader="none" w:pos="914"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Board may on any occasion determine that rights of election and the allotment of shares under paragraph (1)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spacing w:after="0" w:line="176" w:lineRule="exact"/>
        <w:rPr>
          <w:rFonts w:ascii="Arial" w:cs="Arial" w:eastAsia="Arial" w:hAnsi="Arial"/>
          <w:sz w:val="17"/>
          <w:szCs w:val="17"/>
          <w:color w:val="auto"/>
        </w:rPr>
      </w:pPr>
    </w:p>
    <w:p>
      <w:pPr>
        <w:jc w:val="both"/>
        <w:ind w:firstLine="656"/>
        <w:spacing w:after="0" w:line="273" w:lineRule="auto"/>
        <w:tabs>
          <w:tab w:leader="none" w:pos="921"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resolution declaring a dividend on shares of any class, whether a resolution of the Company in general meeting or a resolution of the Board,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mutatis mutandis apply to bonuses, capitalisation issues, distributions of realised capital profits or offers or grants made by the Company to the Members.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RESERVES</w:t>
      </w:r>
    </w:p>
    <w:p>
      <w:pPr>
        <w:spacing w:after="0" w:line="225" w:lineRule="exact"/>
        <w:rPr>
          <w:sz w:val="20"/>
          <w:szCs w:val="20"/>
          <w:color w:val="auto"/>
        </w:rPr>
      </w:pPr>
    </w:p>
    <w:p>
      <w:pPr>
        <w:jc w:val="both"/>
        <w:ind w:firstLine="8"/>
        <w:spacing w:after="0" w:line="259" w:lineRule="auto"/>
        <w:tabs>
          <w:tab w:leader="none" w:pos="3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(1) 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11" w:val="left"/>
        </w:tabs>
        <w:numPr>
          <w:ilvl w:val="1"/>
          <w:numId w:val="92"/>
        </w:numPr>
        <w:rPr>
          <w:rFonts w:ascii="Arial" w:cs="Arial" w:eastAsia="Arial" w:hAnsi="Arial"/>
          <w:sz w:val="18"/>
          <w:szCs w:val="18"/>
          <w:color w:val="auto"/>
        </w:rPr>
      </w:pPr>
      <w:r>
        <w:rPr>
          <w:rFonts w:ascii="Arial" w:cs="Arial" w:eastAsia="Arial" w:hAnsi="Arial"/>
          <w:sz w:val="18"/>
          <w:szCs w:val="18"/>
          <w:color w:val="auto"/>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268605</wp:posOffset>
            </wp:positionV>
            <wp:extent cx="737235" cy="8572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u w:val="single" w:color="auto"/>
          <w:color w:val="auto"/>
        </w:rPr>
        <w:t>CAPITALISATION</w:t>
      </w:r>
    </w:p>
    <w:p>
      <w:pPr>
        <w:spacing w:after="0" w:line="225" w:lineRule="exact"/>
        <w:rPr>
          <w:sz w:val="20"/>
          <w:szCs w:val="20"/>
          <w:color w:val="auto"/>
        </w:rPr>
      </w:pPr>
    </w:p>
    <w:p>
      <w:pPr>
        <w:jc w:val="both"/>
        <w:ind w:firstLine="8"/>
        <w:spacing w:after="0" w:line="289" w:lineRule="auto"/>
        <w:tabs>
          <w:tab w:leader="none" w:pos="38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may, upon the recommendation of the Board, at any time and from time to time pass an ordinary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any capital redemption reserve or fund representing unrealised profits, may be applied only in paying up in full unissued shares of the Company to be allotted to such Members credited as fully paid.</w:t>
      </w:r>
    </w:p>
    <w:p>
      <w:pPr>
        <w:spacing w:after="0" w:line="166" w:lineRule="exact"/>
        <w:rPr>
          <w:rFonts w:ascii="Arial" w:cs="Arial" w:eastAsia="Arial" w:hAnsi="Arial"/>
          <w:sz w:val="16"/>
          <w:szCs w:val="16"/>
          <w:color w:val="auto"/>
        </w:rPr>
      </w:pPr>
    </w:p>
    <w:p>
      <w:pPr>
        <w:jc w:val="both"/>
        <w:ind w:firstLine="8"/>
        <w:spacing w:after="0" w:line="255" w:lineRule="auto"/>
        <w:tabs>
          <w:tab w:leader="none" w:pos="3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Board may settle, as it considers appropriate, any difficulty arising in regard to any distribution under the last preceding Article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SUBSCRIPTION RIGHTS RESERVE</w:t>
      </w:r>
    </w:p>
    <w:p>
      <w:pPr>
        <w:spacing w:after="0" w:line="225"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following provisions shall have effect to the extent that they are not prohibited by and are in compliance with the Act: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spacing w:after="0" w:line="187" w:lineRule="exact"/>
        <w:rPr>
          <w:sz w:val="20"/>
          <w:szCs w:val="20"/>
          <w:color w:val="auto"/>
        </w:rPr>
      </w:pPr>
    </w:p>
    <w:p>
      <w:pPr>
        <w:jc w:val="both"/>
        <w:ind w:left="1300" w:hanging="644"/>
        <w:spacing w:after="0" w:line="271" w:lineRule="auto"/>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from the date of such act or transaction the Company shall establish and thereafter (subject as provided in this Article) maintain in accordance with the provisions of this Article a reserve (the “</w:t>
      </w:r>
      <w:r>
        <w:rPr>
          <w:rFonts w:ascii="Arial" w:cs="Arial" w:eastAsia="Arial" w:hAnsi="Arial"/>
          <w:sz w:val="17"/>
          <w:szCs w:val="17"/>
          <w:b w:val="1"/>
          <w:bCs w:val="1"/>
          <w:color w:val="auto"/>
        </w:rPr>
        <w:t>Subscription Rights Reserve</w:t>
      </w:r>
      <w:r>
        <w:rPr>
          <w:rFonts w:ascii="Arial" w:cs="Arial" w:eastAsia="Arial" w:hAnsi="Arial"/>
          <w:sz w:val="17"/>
          <w:szCs w:val="17"/>
          <w:color w:val="auto"/>
        </w:rPr>
        <w:t>”) the amount of which shall at no time be less than the sum which for the time being would be required to be capitalised and applied in paying up in full the nominal</w:t>
      </w:r>
    </w:p>
    <w:p>
      <w:pPr>
        <w:jc w:val="both"/>
        <w:ind w:left="1300"/>
        <w:spacing w:after="0" w:line="255" w:lineRule="auto"/>
        <w:rPr>
          <w:rFonts w:ascii="Arial" w:cs="Arial" w:eastAsia="Arial" w:hAnsi="Arial"/>
          <w:sz w:val="17"/>
          <w:szCs w:val="17"/>
          <w:color w:val="auto"/>
        </w:rPr>
      </w:pPr>
      <w:r>
        <w:rPr>
          <w:rFonts w:ascii="Arial" w:cs="Arial" w:eastAsia="Arial" w:hAnsi="Arial"/>
          <w:sz w:val="18"/>
          <w:szCs w:val="18"/>
          <w:color w:val="auto"/>
        </w:rPr>
        <w:t>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266700</wp:posOffset>
            </wp:positionV>
            <wp:extent cx="737235" cy="857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left="644" w:hanging="644"/>
        <w:spacing w:after="0" w:line="263" w:lineRule="auto"/>
        <w:tabs>
          <w:tab w:leader="none" w:pos="6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spacing w:after="0" w:line="183" w:lineRule="exact"/>
        <w:rPr>
          <w:rFonts w:ascii="Arial" w:cs="Arial" w:eastAsia="Arial" w:hAnsi="Arial"/>
          <w:sz w:val="18"/>
          <w:szCs w:val="18"/>
          <w:color w:val="auto"/>
        </w:rPr>
      </w:pPr>
    </w:p>
    <w:p>
      <w:pPr>
        <w:jc w:val="both"/>
        <w:ind w:left="644" w:hanging="644"/>
        <w:spacing w:after="0" w:line="275" w:lineRule="auto"/>
        <w:tabs>
          <w:tab w:leader="none" w:pos="644"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warrantholder, credited as fully paid, such additional nominal amount of shares as is equal to the difference between:</w:t>
      </w:r>
    </w:p>
    <w:p>
      <w:pPr>
        <w:spacing w:after="0" w:line="176" w:lineRule="exact"/>
        <w:rPr>
          <w:rFonts w:ascii="Arial" w:cs="Arial" w:eastAsia="Arial" w:hAnsi="Arial"/>
          <w:sz w:val="17"/>
          <w:szCs w:val="17"/>
          <w:color w:val="auto"/>
        </w:rPr>
      </w:pPr>
    </w:p>
    <w:p>
      <w:pPr>
        <w:ind w:left="1304" w:right="20" w:hanging="656"/>
        <w:spacing w:after="0" w:line="342" w:lineRule="auto"/>
        <w:tabs>
          <w:tab w:leader="none" w:pos="1304"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123" w:lineRule="exact"/>
        <w:rPr>
          <w:rFonts w:ascii="Arial" w:cs="Arial" w:eastAsia="Arial" w:hAnsi="Arial"/>
          <w:sz w:val="16"/>
          <w:szCs w:val="16"/>
          <w:color w:val="auto"/>
        </w:rPr>
      </w:pPr>
    </w:p>
    <w:p>
      <w:pPr>
        <w:jc w:val="both"/>
        <w:ind w:left="1304" w:hanging="656"/>
        <w:spacing w:after="0" w:line="255" w:lineRule="auto"/>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268605</wp:posOffset>
            </wp:positionV>
            <wp:extent cx="737235" cy="857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44"/>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8" w:name="page49"/>
    <w:bookmarkEnd w:id="48"/>
    <w:p>
      <w:pPr>
        <w:jc w:val="both"/>
        <w:ind w:left="644" w:hanging="644"/>
        <w:spacing w:after="0" w:line="269" w:lineRule="auto"/>
        <w:tabs>
          <w:tab w:leader="none" w:pos="644"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upon the exercise of the subscription rights represented by any warrant, the amount standing to the credit of the Subscription Rights Reserve is not sufficient to pay up in full such additional nominal amount of shares equal to such difference as aforesaid to which the exercising warrantholder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warrantholder upon the issue of such certificate.</w:t>
      </w:r>
    </w:p>
    <w:p>
      <w:pPr>
        <w:spacing w:after="0" w:line="182" w:lineRule="exact"/>
        <w:rPr>
          <w:sz w:val="20"/>
          <w:szCs w:val="20"/>
          <w:color w:val="auto"/>
        </w:rPr>
      </w:pPr>
    </w:p>
    <w:p>
      <w:pPr>
        <w:jc w:val="both"/>
        <w:ind w:left="-656" w:firstLine="656"/>
        <w:spacing w:after="0" w:line="263" w:lineRule="auto"/>
        <w:tabs>
          <w:tab w:leader="none" w:pos="2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allotted pursuant to the provisions of this Article shall rank pari passu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spacing w:after="0" w:line="183" w:lineRule="exact"/>
        <w:rPr>
          <w:rFonts w:ascii="Arial" w:cs="Arial" w:eastAsia="Arial" w:hAnsi="Arial"/>
          <w:sz w:val="18"/>
          <w:szCs w:val="18"/>
          <w:color w:val="auto"/>
        </w:rPr>
      </w:pPr>
    </w:p>
    <w:p>
      <w:pPr>
        <w:jc w:val="both"/>
        <w:ind w:left="-656" w:firstLine="656"/>
        <w:spacing w:after="0" w:line="286" w:lineRule="auto"/>
        <w:tabs>
          <w:tab w:leader="none" w:pos="24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spacing w:after="0" w:line="165" w:lineRule="exact"/>
        <w:rPr>
          <w:rFonts w:ascii="Arial" w:cs="Arial" w:eastAsia="Arial" w:hAnsi="Arial"/>
          <w:sz w:val="17"/>
          <w:szCs w:val="17"/>
          <w:color w:val="auto"/>
        </w:rPr>
      </w:pPr>
    </w:p>
    <w:p>
      <w:pPr>
        <w:jc w:val="both"/>
        <w:ind w:left="-656" w:firstLine="656"/>
        <w:spacing w:after="0" w:line="296" w:lineRule="auto"/>
        <w:tabs>
          <w:tab w:leader="none" w:pos="249"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warrantholders credited as fully paid, and as to any other matter concerning the Subscription Rights Reserve shall (in the absence of manifest error) be conclusive and binding upon the Company and all warrantholders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248920</wp:posOffset>
            </wp:positionV>
            <wp:extent cx="737235" cy="8572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44"/>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u w:val="single" w:color="auto"/>
          <w:color w:val="auto"/>
        </w:rPr>
        <w:t>ACCOUNTING RECORDS</w:t>
      </w:r>
    </w:p>
    <w:p>
      <w:pPr>
        <w:spacing w:after="0" w:line="225" w:lineRule="exact"/>
        <w:rPr>
          <w:sz w:val="20"/>
          <w:szCs w:val="20"/>
          <w:color w:val="auto"/>
        </w:rPr>
      </w:pPr>
    </w:p>
    <w:p>
      <w:pPr>
        <w:jc w:val="both"/>
        <w:ind w:firstLine="8"/>
        <w:spacing w:after="0" w:line="263" w:lineRule="auto"/>
        <w:tabs>
          <w:tab w:leader="none" w:pos="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spacing w:after="0" w:line="183" w:lineRule="exact"/>
        <w:rPr>
          <w:rFonts w:ascii="Arial" w:cs="Arial" w:eastAsia="Arial" w:hAnsi="Arial"/>
          <w:sz w:val="18"/>
          <w:szCs w:val="18"/>
          <w:color w:val="auto"/>
        </w:rPr>
      </w:pPr>
    </w:p>
    <w:p>
      <w:pPr>
        <w:jc w:val="both"/>
        <w:ind w:firstLine="8"/>
        <w:spacing w:after="0" w:line="263" w:lineRule="auto"/>
        <w:tabs>
          <w:tab w:leader="none" w:pos="3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183" w:lineRule="exact"/>
        <w:rPr>
          <w:rFonts w:ascii="Arial" w:cs="Arial" w:eastAsia="Arial" w:hAnsi="Arial"/>
          <w:sz w:val="18"/>
          <w:szCs w:val="18"/>
          <w:color w:val="auto"/>
        </w:rPr>
      </w:pPr>
    </w:p>
    <w:p>
      <w:pPr>
        <w:jc w:val="both"/>
        <w:ind w:firstLine="8"/>
        <w:spacing w:after="0" w:line="273" w:lineRule="auto"/>
        <w:tabs>
          <w:tab w:leader="none" w:pos="391"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Subject to Article 149, a printed copy of the Directors’ report, accompanied by the balance sheet and profit and loss account, including every document required by law to be annexed thereto, made up to the end of the applicable financial year and containing a summary of the assets and liabilities of the Company under convenient heads and a statement of income and expenditure, together with a copy of the Auditors’ report, shall be sent to each person entitled thereto at least ten (10) days before the date of the general meeting and laid before the Company at the annual general meeting held in accordance with Article 57 provided that this Article shall not require a copy of those documents to be sent to any person whose address the Company is not aware or to more than one of the joint holders of any shares or debentures.</w:t>
      </w:r>
    </w:p>
    <w:p>
      <w:pPr>
        <w:spacing w:after="0" w:line="177" w:lineRule="exact"/>
        <w:rPr>
          <w:rFonts w:ascii="Arial" w:cs="Arial" w:eastAsia="Arial" w:hAnsi="Arial"/>
          <w:sz w:val="17"/>
          <w:szCs w:val="17"/>
          <w:color w:val="auto"/>
        </w:rPr>
      </w:pPr>
    </w:p>
    <w:p>
      <w:pPr>
        <w:jc w:val="both"/>
        <w:ind w:firstLine="8"/>
        <w:spacing w:after="0" w:line="272" w:lineRule="auto"/>
        <w:tabs>
          <w:tab w:leader="none" w:pos="398"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Subject to due compliance with all applicable Statutes, rules and regulations, including, without limitation, the rules of the Designated Stock Exchange, and to obtaining all necessary consents, if any, required thereunder, the requirements of Article 148 shall be deemed satisfied in relation to any person by sending to the person in any manner not prohibited by the Statutes, a summarised financial statement derived from the Company’s annual accounts and the directors’ report which shall be in the form and containing the information required by applicable laws and regulations, provided that any person who is otherwise entitled to the annual financial statements of the Company and the directors’ report thereon may, if he so requires by notice in writing served on the Company, demand that the Company sends to him, in addition to summarised financial statement, a complete printed copy of the Company’s annual financial statement and the directors’ report thereon.</w:t>
      </w:r>
    </w:p>
    <w:p>
      <w:pPr>
        <w:spacing w:after="0" w:line="177" w:lineRule="exact"/>
        <w:rPr>
          <w:rFonts w:ascii="Arial" w:cs="Arial" w:eastAsia="Arial" w:hAnsi="Arial"/>
          <w:sz w:val="17"/>
          <w:szCs w:val="17"/>
          <w:color w:val="auto"/>
        </w:rPr>
      </w:pPr>
    </w:p>
    <w:p>
      <w:pPr>
        <w:jc w:val="both"/>
        <w:ind w:firstLine="8"/>
        <w:spacing w:after="0" w:line="255" w:lineRule="auto"/>
        <w:tabs>
          <w:tab w:leader="none" w:pos="3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requirement to send to a person referred to in Article 148 the documents referred to in that article or a summary financial report in accordance with Article 149 shall be deemed satisfied where, in accordance with all applicable Statutes, rules and regulations, including, without limitation, the rules of the Designated Stock Exchange, the Company publishes copies of the documents referred to in Article 148 and, if applicable, a summary financial report complying with Article 149, on the Company’s computer network or in any other permitted manner (including by sending any form of electronic communication), and that person has agreed or is deemed to have agreed to treat the publication or receipt of such documents in such manner as discharging the Company’s obligation to send to him a copy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268605</wp:posOffset>
            </wp:positionV>
            <wp:extent cx="737235" cy="857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5340"/>
        <w:spacing w:after="0"/>
        <w:rPr>
          <w:sz w:val="20"/>
          <w:szCs w:val="20"/>
          <w:color w:val="auto"/>
        </w:rPr>
      </w:pPr>
      <w:r>
        <w:rPr>
          <w:rFonts w:ascii="Arial" w:cs="Arial" w:eastAsia="Arial" w:hAnsi="Arial"/>
          <w:sz w:val="18"/>
          <w:szCs w:val="18"/>
          <w:u w:val="single" w:color="auto"/>
          <w:color w:val="auto"/>
        </w:rPr>
        <w:t>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150. Subject to applicable law and rules of the Designated Stock Exchange:</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The Board may appoint an auditor to audit the accounts of the Company and such auditor shall hold office until removed by a resolution of the Board. Such auditor may be a Member but no Director or officer or employee of the Company shall, during his continuance in office, be eligible to act as an auditor of the Company.</w:t>
      </w:r>
    </w:p>
    <w:p>
      <w:pPr>
        <w:spacing w:after="0" w:line="184" w:lineRule="exact"/>
        <w:rPr>
          <w:sz w:val="20"/>
          <w:szCs w:val="20"/>
          <w:color w:val="auto"/>
        </w:rPr>
      </w:pPr>
    </w:p>
    <w:p>
      <w:pPr>
        <w:ind w:left="360" w:hanging="352"/>
        <w:spacing w:after="0"/>
        <w:tabs>
          <w:tab w:leader="none" w:pos="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the Act the accounts of the Company shall be audited at least once in every year.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remuneration of the Auditor shall be determined by the Audit Committee or, in the absence of such an Audit Committee, by the Board.</w:t>
      </w:r>
    </w:p>
    <w:p>
      <w:pPr>
        <w:spacing w:after="0" w:line="236" w:lineRule="exact"/>
        <w:rPr>
          <w:rFonts w:ascii="Arial" w:cs="Arial" w:eastAsia="Arial" w:hAnsi="Arial"/>
          <w:sz w:val="17"/>
          <w:szCs w:val="17"/>
          <w:color w:val="auto"/>
        </w:rPr>
      </w:pPr>
    </w:p>
    <w:p>
      <w:pPr>
        <w:ind w:firstLine="8"/>
        <w:spacing w:after="0" w:line="308" w:lineRule="auto"/>
        <w:tabs>
          <w:tab w:leader="none" w:pos="36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46" w:lineRule="exact"/>
        <w:rPr>
          <w:rFonts w:ascii="Arial" w:cs="Arial" w:eastAsia="Arial" w:hAnsi="Arial"/>
          <w:sz w:val="17"/>
          <w:szCs w:val="17"/>
          <w:color w:val="auto"/>
        </w:rPr>
      </w:pPr>
    </w:p>
    <w:p>
      <w:pPr>
        <w:ind w:firstLine="8"/>
        <w:spacing w:after="0" w:line="308" w:lineRule="auto"/>
        <w:tabs>
          <w:tab w:leader="none" w:pos="36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146" w:lineRule="exact"/>
        <w:rPr>
          <w:rFonts w:ascii="Arial" w:cs="Arial" w:eastAsia="Arial" w:hAnsi="Arial"/>
          <w:sz w:val="17"/>
          <w:szCs w:val="17"/>
          <w:color w:val="auto"/>
        </w:rPr>
      </w:pPr>
    </w:p>
    <w:p>
      <w:pPr>
        <w:jc w:val="both"/>
        <w:ind w:firstLine="8"/>
        <w:spacing w:after="0" w:line="271" w:lineRule="auto"/>
        <w:tabs>
          <w:tab w:leader="none" w:pos="36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act and name such country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259715</wp:posOffset>
            </wp:positionV>
            <wp:extent cx="737235" cy="8572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firstLine="8"/>
        <w:spacing w:after="0" w:line="263" w:lineRule="auto"/>
        <w:tabs>
          <w:tab w:leader="none" w:pos="38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Notice or document, whether or not, to be given or issued under these Articles from the Company shall be in writing or by cable, telex or facsimile transmission message or other form of electronic transmission or electronic communication and any such Notice and document may be given or issued by the following means: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by serving it personally on the relevant person;</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by sending it through the post in a prepaid envelope addressed to such Member at his registered address as appearing in the Register or at any other address supplied by him to the Company for the purpose;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by delivering or leaving it at such address as aforesaid;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by placing an advertisement in appropriate newspapers or other publication and where applicable, in accordance with the requirements of the Designated Stock Exchange;</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by sending or transmitting it as an electronic communication to the relevant person at such electronic address as he may provide under Article 156(5), subject to the Company complying with the Statutes and any other applicable laws, rules and regulations from time to time in force with regard to any requirements for the obtaining of consent (or deemed consent) from such person;</w:t>
      </w:r>
    </w:p>
    <w:p>
      <w:pPr>
        <w:spacing w:after="0" w:line="165"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by publishing it on the Company’s website to which the relevant person may have access, subject to the Company complying with the Statutes and any other applicable laws, rules and regulations from time to time in force with regard to any requirements for the obtaining of consent (or deemed consent) from such person and/or for giving notification to any such person stating that the notice, document or publication is available on the Company’s website (a “</w:t>
      </w:r>
      <w:r>
        <w:rPr>
          <w:rFonts w:ascii="Arial" w:cs="Arial" w:eastAsia="Arial" w:hAnsi="Arial"/>
          <w:sz w:val="18"/>
          <w:szCs w:val="18"/>
          <w:b w:val="1"/>
          <w:bCs w:val="1"/>
          <w:color w:val="auto"/>
        </w:rPr>
        <w:t>notice of availability</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by sending or otherwise making it available to such person through such other means to the extent permitted by and in accordance with the Statutes and other applicable laws, rules and regulations.</w:t>
      </w:r>
    </w:p>
    <w:p>
      <w:pPr>
        <w:spacing w:after="0" w:line="170" w:lineRule="exact"/>
        <w:rPr>
          <w:sz w:val="20"/>
          <w:szCs w:val="20"/>
          <w:color w:val="auto"/>
        </w:rPr>
      </w:pPr>
    </w:p>
    <w:p>
      <w:pPr>
        <w:ind w:left="920" w:hanging="264"/>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notice of availability may be given by any of the means set out above other than by posting it on a website.</w:t>
      </w:r>
    </w:p>
    <w:p>
      <w:pPr>
        <w:spacing w:after="0" w:line="225" w:lineRule="exact"/>
        <w:rPr>
          <w:rFonts w:ascii="Arial" w:cs="Arial" w:eastAsia="Arial" w:hAnsi="Arial"/>
          <w:sz w:val="18"/>
          <w:szCs w:val="18"/>
          <w:color w:val="auto"/>
        </w:rPr>
      </w:pPr>
    </w:p>
    <w:p>
      <w:pPr>
        <w:ind w:firstLine="656"/>
        <w:spacing w:after="0" w:line="277" w:lineRule="auto"/>
        <w:tabs>
          <w:tab w:leader="none" w:pos="91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joint holders of a share all notices shall be given to that one of the joint holders whose name stands first in the Register and notice so given shall be deemed a sufficient service on or delivery to all the joint holders.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1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Every person who, by operation of law, transfer, transmission, or other means whatsoever, shall become entitled to any share, shall be bound by every notice in respect of such share, which, previously to his name and address (including electronic address) being entered in the Register as the registered holder of such share, shall have been duly given to the person from whom he derives title to such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250825</wp:posOffset>
            </wp:positionV>
            <wp:extent cx="737235" cy="857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8" w:firstLine="656"/>
        <w:spacing w:after="0" w:line="277" w:lineRule="auto"/>
        <w:tabs>
          <w:tab w:leader="none" w:pos="91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Every Member or a person who is entitled to receive notice from the Company under the provisions of the Statutes or these Articles may register with the Company an electronic address to which notices can be served upon him.</w:t>
      </w:r>
    </w:p>
    <w:p>
      <w:pPr>
        <w:spacing w:after="0" w:line="170" w:lineRule="exact"/>
        <w:rPr>
          <w:rFonts w:ascii="Arial" w:cs="Arial" w:eastAsia="Arial" w:hAnsi="Arial"/>
          <w:sz w:val="18"/>
          <w:szCs w:val="18"/>
          <w:color w:val="auto"/>
        </w:rPr>
      </w:pPr>
    </w:p>
    <w:p>
      <w:pPr>
        <w:jc w:val="both"/>
        <w:ind w:left="-8" w:firstLine="656"/>
        <w:spacing w:after="0" w:line="263" w:lineRule="auto"/>
        <w:tabs>
          <w:tab w:leader="none" w:pos="90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Subject to any applicable laws, rules and regulations and the terms of these Articles, any notice, document or publication, including but not limited to the documents referred to in Articles 147, 148 and 156 may be given in the English language only or in both the English language and the Chinese language, as the Board shall determine in its sole discretion.</w:t>
      </w:r>
    </w:p>
    <w:p>
      <w:pPr>
        <w:spacing w:after="0" w:line="183" w:lineRule="exact"/>
        <w:rPr>
          <w:rFonts w:ascii="Arial" w:cs="Arial" w:eastAsia="Arial" w:hAnsi="Arial"/>
          <w:sz w:val="18"/>
          <w:szCs w:val="18"/>
          <w:color w:val="auto"/>
        </w:rPr>
      </w:pPr>
    </w:p>
    <w:p>
      <w:pPr>
        <w:ind w:left="352" w:hanging="352"/>
        <w:spacing w:after="0"/>
        <w:tabs>
          <w:tab w:leader="none" w:pos="3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Notice or other document:</w:t>
      </w:r>
    </w:p>
    <w:p>
      <w:pPr>
        <w:spacing w:after="0" w:line="225" w:lineRule="exact"/>
        <w:rPr>
          <w:sz w:val="20"/>
          <w:szCs w:val="20"/>
          <w:color w:val="auto"/>
        </w:rPr>
      </w:pPr>
    </w:p>
    <w:p>
      <w:pPr>
        <w:jc w:val="both"/>
        <w:ind w:left="1292" w:hanging="644"/>
        <w:spacing w:after="0" w:line="255" w:lineRule="auto"/>
        <w:tabs>
          <w:tab w:leader="none" w:pos="12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92" w:lineRule="exact"/>
        <w:rPr>
          <w:rFonts w:ascii="Arial" w:cs="Arial" w:eastAsia="Arial" w:hAnsi="Arial"/>
          <w:sz w:val="18"/>
          <w:szCs w:val="18"/>
          <w:color w:val="auto"/>
        </w:rPr>
      </w:pPr>
    </w:p>
    <w:p>
      <w:pPr>
        <w:jc w:val="both"/>
        <w:ind w:left="1292" w:hanging="644"/>
        <w:spacing w:after="0" w:line="286" w:lineRule="auto"/>
        <w:tabs>
          <w:tab w:leader="none" w:pos="129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sent by electronic communication, shall be deemed to be given on the day on which it is transmitted from the server of the Company or its agent. A Notice placed on the Company’s website or the website of the Designated Stock Exchange is deemed given by the Company to a Member on the day following that on which a notice of availability is deemed served on the Member;</w:t>
      </w:r>
    </w:p>
    <w:p>
      <w:pPr>
        <w:spacing w:after="0" w:line="165" w:lineRule="exact"/>
        <w:rPr>
          <w:rFonts w:ascii="Arial" w:cs="Arial" w:eastAsia="Arial" w:hAnsi="Arial"/>
          <w:sz w:val="17"/>
          <w:szCs w:val="17"/>
          <w:color w:val="auto"/>
        </w:rPr>
      </w:pPr>
    </w:p>
    <w:p>
      <w:pPr>
        <w:jc w:val="both"/>
        <w:ind w:left="1292" w:hanging="644"/>
        <w:spacing w:after="0" w:line="263" w:lineRule="auto"/>
        <w:tabs>
          <w:tab w:leader="none" w:pos="12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published on the Company’s website, shall be deemed to have been served on the day on which the notice, document or publication first so appears on the Company’s website to which the relevant person may have access or the day on which the notice of availability is deemed to have been served or delivered to such person under these Articles, whichever is later;</w:t>
      </w:r>
    </w:p>
    <w:p>
      <w:pPr>
        <w:spacing w:after="0" w:line="183"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p>
      <w:pPr>
        <w:spacing w:after="0" w:line="171" w:lineRule="exact"/>
        <w:rPr>
          <w:rFonts w:ascii="Arial" w:cs="Arial" w:eastAsia="Arial" w:hAnsi="Arial"/>
          <w:sz w:val="17"/>
          <w:szCs w:val="17"/>
          <w:color w:val="auto"/>
        </w:rPr>
      </w:pPr>
    </w:p>
    <w:p>
      <w:pPr>
        <w:ind w:left="1292" w:right="20" w:hanging="644"/>
        <w:spacing w:after="0" w:line="277" w:lineRule="auto"/>
        <w:tabs>
          <w:tab w:leader="none" w:pos="12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published as an advertisement in a newspaper or other publication permitted under these Articles, shall be deemed to have been served on the day on which the advertisement first so appears.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254635</wp:posOffset>
            </wp:positionV>
            <wp:extent cx="737235" cy="857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92"/>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3" w:name="page54"/>
    <w:bookmarkEnd w:id="53"/>
    <w:p>
      <w:pPr>
        <w:jc w:val="both"/>
        <w:ind w:firstLine="8"/>
        <w:spacing w:after="0" w:line="273" w:lineRule="auto"/>
        <w:tabs>
          <w:tab w:leader="none" w:pos="37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(1) 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177" w:lineRule="exact"/>
        <w:rPr>
          <w:rFonts w:ascii="Arial" w:cs="Arial" w:eastAsia="Arial" w:hAnsi="Arial"/>
          <w:sz w:val="17"/>
          <w:szCs w:val="17"/>
          <w:color w:val="auto"/>
        </w:rPr>
      </w:pPr>
    </w:p>
    <w:p>
      <w:pPr>
        <w:jc w:val="both"/>
        <w:ind w:firstLine="656"/>
        <w:spacing w:after="0" w:line="257" w:lineRule="auto"/>
        <w:tabs>
          <w:tab w:leader="none" w:pos="92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jc w:val="both"/>
        <w:ind w:firstLine="8"/>
        <w:spacing w:after="0" w:line="257" w:lineRule="auto"/>
        <w:tabs>
          <w:tab w:leader="none" w:pos="36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the purposes of these Articles, a facsimile or electronic transmission message purporting to come from a holder of shares or, as the case may be, a Director or alternate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or alternate Director in the terms in which it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265430</wp:posOffset>
            </wp:positionV>
            <wp:extent cx="737235" cy="857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u w:val="single" w:color="auto"/>
          <w:color w:val="auto"/>
        </w:rPr>
        <w:t>WINDING UP</w:t>
      </w:r>
    </w:p>
    <w:p>
      <w:pPr>
        <w:spacing w:after="0" w:line="225"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(1) The Board shall have power in the name and on behalf of the Company to present a petition to the court for the Company to be wound up.</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resolution that the Company be wound up by the court or be wound up voluntarily shall be a special resolution.</w:t>
      </w:r>
    </w:p>
    <w:p>
      <w:pPr>
        <w:spacing w:after="0" w:line="225" w:lineRule="exact"/>
        <w:rPr>
          <w:rFonts w:ascii="Arial" w:cs="Arial" w:eastAsia="Arial" w:hAnsi="Arial"/>
          <w:sz w:val="18"/>
          <w:szCs w:val="18"/>
          <w:color w:val="auto"/>
        </w:rPr>
      </w:pPr>
    </w:p>
    <w:p>
      <w:pPr>
        <w:jc w:val="both"/>
        <w:ind w:firstLine="8"/>
        <w:spacing w:after="0" w:line="254" w:lineRule="auto"/>
        <w:tabs>
          <w:tab w:leader="none" w:pos="3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shall be more than sufficient to repay the whole of the capital paid up at the commencement of the winding up, the excess shall be distributed pari passu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w:t>
      </w:r>
    </w:p>
    <w:p>
      <w:pPr>
        <w:spacing w:after="0" w:line="194" w:lineRule="exact"/>
        <w:rPr>
          <w:rFonts w:ascii="Arial" w:cs="Arial" w:eastAsia="Arial" w:hAnsi="Arial"/>
          <w:sz w:val="18"/>
          <w:szCs w:val="18"/>
          <w:color w:val="auto"/>
        </w:rPr>
      </w:pPr>
    </w:p>
    <w:p>
      <w:pPr>
        <w:jc w:val="both"/>
        <w:ind w:firstLine="656"/>
        <w:spacing w:after="0" w:line="291" w:lineRule="auto"/>
        <w:tabs>
          <w:tab w:leader="none" w:pos="9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252095</wp:posOffset>
            </wp:positionV>
            <wp:extent cx="737235" cy="8572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u w:val="single" w:color="auto"/>
          <w:color w:val="auto"/>
        </w:rPr>
        <w:t>INDEMNITY</w:t>
      </w:r>
    </w:p>
    <w:p>
      <w:pPr>
        <w:spacing w:after="0" w:line="225" w:lineRule="exact"/>
        <w:rPr>
          <w:sz w:val="20"/>
          <w:szCs w:val="20"/>
          <w:color w:val="auto"/>
        </w:rPr>
      </w:pPr>
    </w:p>
    <w:p>
      <w:pPr>
        <w:jc w:val="both"/>
        <w:ind w:firstLine="8"/>
        <w:spacing w:after="0" w:line="288" w:lineRule="auto"/>
        <w:tabs>
          <w:tab w:leader="none" w:pos="37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(1) The Directors, Secretary and other officers for the time being of the Company (but not including the Company’s auditors) and the liquidator or trustees (if any) for the time being acting in relation to any of the affairs of the Company and everyone of them, and everyone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p>
      <w:pPr>
        <w:spacing w:after="0" w:line="168" w:lineRule="exact"/>
        <w:rPr>
          <w:rFonts w:ascii="Arial" w:cs="Arial" w:eastAsia="Arial" w:hAnsi="Arial"/>
          <w:sz w:val="16"/>
          <w:szCs w:val="16"/>
          <w:color w:val="auto"/>
        </w:rPr>
      </w:pPr>
    </w:p>
    <w:p>
      <w:pPr>
        <w:jc w:val="both"/>
        <w:ind w:firstLine="656"/>
        <w:spacing w:after="0" w:line="311" w:lineRule="auto"/>
        <w:tabs>
          <w:tab w:leader="none" w:pos="91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TO MEMORANDUM AND ARTICLES OF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NAME OF COMPANY</w:t>
      </w:r>
    </w:p>
    <w:p>
      <w:pPr>
        <w:spacing w:after="0" w:line="211" w:lineRule="exact"/>
        <w:rPr>
          <w:sz w:val="20"/>
          <w:szCs w:val="20"/>
          <w:color w:val="auto"/>
        </w:rPr>
      </w:pPr>
    </w:p>
    <w:p>
      <w:pPr>
        <w:ind w:firstLine="8"/>
        <w:spacing w:after="0" w:line="308"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 Article shall be rescinded, altered or amended and no new Article shall be made until the same has been approved by a special resolution of the Members. A special resolution shall be required to alter the provisions of the memorandum of association or to change the name of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INFORMATION</w:t>
      </w:r>
    </w:p>
    <w:p>
      <w:pPr>
        <w:spacing w:after="0" w:line="225" w:lineRule="exact"/>
        <w:rPr>
          <w:sz w:val="20"/>
          <w:szCs w:val="20"/>
          <w:color w:val="auto"/>
        </w:rPr>
      </w:pPr>
    </w:p>
    <w:p>
      <w:pPr>
        <w:jc w:val="both"/>
        <w:ind w:firstLine="8"/>
        <w:spacing w:after="0" w:line="263" w:lineRule="auto"/>
        <w:tabs>
          <w:tab w:leader="none" w:pos="3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to communicate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262890</wp:posOffset>
            </wp:positionV>
            <wp:extent cx="737235" cy="857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www.verify.gov.ky File#: 337027</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ANNEX TO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AMENDED AND RESTATED MEMORANDUM &amp;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ASSOCIATION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EBANG INTERNATIONAL HOLDINGS INC.</w:t>
      </w:r>
      <w:r>
        <w:rPr>
          <w:rFonts w:ascii="Arial" w:cs="Arial" w:eastAsia="Arial" w:hAnsi="Arial"/>
          <w:sz w:val="17"/>
          <w:szCs w:val="17"/>
          <w:b w:val="1"/>
          <w:bCs w:val="1"/>
          <w:color w:val="auto"/>
        </w:rPr>
        <w:t xml:space="preserve"> (“The Company”)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S26(3)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COMPANIES ACT (2021 REVISION)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The Financial Year End of the company is </w:t>
      </w:r>
      <w:r>
        <w:rPr>
          <w:rFonts w:ascii="Arial" w:cs="Arial" w:eastAsia="Arial" w:hAnsi="Arial"/>
          <w:sz w:val="18"/>
          <w:szCs w:val="18"/>
          <w:b w:val="1"/>
          <w:bCs w:val="1"/>
          <w:u w:val="single" w:color="auto"/>
          <w:color w:val="auto"/>
        </w:rPr>
        <w:t>31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154305</wp:posOffset>
            </wp:positionV>
            <wp:extent cx="737235" cy="857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7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337027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lvl w:ilvl="1">
      <w:lvlJc w:val="left"/>
      <w:lvlText w:val="(%2)"/>
      <w:numFmt w:val="lowerLetter"/>
      <w:start w:val="1"/>
    </w:lvl>
  </w:abstractNum>
  <w:abstractNum w:abstractNumId="1">
    <w:nsid w:val="39386575"/>
    <w:multiLevelType w:val="hybridMultilevel"/>
    <w:lvl w:ilvl="0">
      <w:lvlJc w:val="left"/>
      <w:lvlText w:val="%1."/>
      <w:numFmt w:val="decimal"/>
      <w:start w:val="5"/>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lowerLetter"/>
      <w:start w:val="1"/>
    </w:lvl>
    <w:lvl w:ilvl="1">
      <w:lvlJc w:val="left"/>
      <w:lvlText w:val="(%2)"/>
      <w:numFmt w:val="lowerRoman"/>
      <w:start w:val="1"/>
    </w:lvl>
  </w:abstractNum>
  <w:abstractNum w:abstractNumId="4">
    <w:nsid w:val="235BA861"/>
    <w:multiLevelType w:val="hybridMultilevel"/>
    <w:lvl w:ilvl="0">
      <w:lvlJc w:val="left"/>
      <w:lvlText w:val="(%1)"/>
      <w:numFmt w:val="lowerLetter"/>
      <w:start w:val="7"/>
    </w:lvl>
  </w:abstractNum>
  <w:abstractNum w:abstractNumId="5">
    <w:nsid w:val="47398C89"/>
    <w:multiLevelType w:val="hybridMultilevel"/>
    <w:lvl w:ilvl="0">
      <w:lvlJc w:val="left"/>
      <w:lvlText w:val="%1."/>
      <w:numFmt w:val="decimal"/>
      <w:start w:val="3"/>
    </w:lvl>
  </w:abstractNum>
  <w:abstractNum w:abstractNumId="6">
    <w:nsid w:val="354FE9F9"/>
    <w:multiLevelType w:val="hybridMultilevel"/>
    <w:lvl w:ilvl="0">
      <w:lvlJc w:val="left"/>
      <w:lvlText w:val="(%1)"/>
      <w:numFmt w:val="decimal"/>
      <w:start w:val="2"/>
    </w:lvl>
  </w:abstractNum>
  <w:abstractNum w:abstractNumId="7">
    <w:nsid w:val="15B5AF5C"/>
    <w:multiLevelType w:val="hybridMultilevel"/>
    <w:lvl w:ilvl="0">
      <w:lvlJc w:val="left"/>
      <w:lvlText w:val="%1."/>
      <w:numFmt w:val="decimal"/>
      <w:start w:val="4"/>
    </w:lvl>
    <w:lvl w:ilvl="1">
      <w:lvlJc w:val="left"/>
      <w:lvlText w:val="(%2)"/>
      <w:numFmt w:val="lowerLetter"/>
      <w:start w:val="1"/>
    </w:lvl>
  </w:abstractNum>
  <w:abstractNum w:abstractNumId="8">
    <w:nsid w:val="741226BB"/>
    <w:multiLevelType w:val="hybridMultilevel"/>
    <w:lvl w:ilvl="0">
      <w:lvlJc w:val="left"/>
      <w:lvlText w:val="%1"/>
      <w:numFmt w:val="decimal"/>
      <w:start w:val="1"/>
    </w:lvl>
    <w:lvl w:ilvl="1">
      <w:lvlJc w:val="left"/>
      <w:lvlText w:val="(%2)"/>
      <w:numFmt w:val="lowerLetter"/>
      <w:start w:val="4"/>
    </w:lvl>
  </w:abstractNum>
  <w:abstractNum w:abstractNumId="9">
    <w:nsid w:val="D34B6A8"/>
    <w:multiLevelType w:val="hybridMultilevel"/>
    <w:lvl w:ilvl="0">
      <w:lvlJc w:val="left"/>
      <w:lvlText w:val="%1."/>
      <w:numFmt w:val="decimal"/>
      <w:start w:val="5"/>
    </w:lvl>
    <w:lvl w:ilvl="1">
      <w:lvlJc w:val="left"/>
      <w:lvlText w:val="%2"/>
      <w:numFmt w:val="lowerLetter"/>
      <w:start w:val="1"/>
    </w:lvl>
  </w:abstractNum>
  <w:abstractNum w:abstractNumId="10">
    <w:nsid w:val="10233C99"/>
    <w:multiLevelType w:val="hybridMultilevel"/>
    <w:lvl w:ilvl="0">
      <w:lvlJc w:val="left"/>
      <w:lvlText w:val="%1."/>
      <w:numFmt w:val="decimal"/>
      <w:start w:val="8"/>
    </w:lvl>
  </w:abstractNum>
  <w:abstractNum w:abstractNumId="11">
    <w:nsid w:val="3F6AB60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
    <w:nsid w:val="61574095"/>
    <w:multiLevelType w:val="hybridMultilevel"/>
    <w:lvl w:ilvl="0">
      <w:lvlJc w:val="left"/>
      <w:lvlText w:val="(%1)"/>
      <w:numFmt w:val="lowerRoman"/>
      <w:start w:val="3"/>
    </w:lvl>
  </w:abstractNum>
  <w:abstractNum w:abstractNumId="13">
    <w:nsid w:val="7E0C57B1"/>
    <w:multiLevelType w:val="hybridMultilevel"/>
    <w:lvl w:ilvl="0">
      <w:lvlJc w:val="left"/>
      <w:lvlText w:val="%1."/>
      <w:numFmt w:val="decimal"/>
      <w:start w:val="11"/>
    </w:lvl>
    <w:lvl w:ilvl="1">
      <w:lvlJc w:val="left"/>
      <w:lvlText w:val="(%2)"/>
      <w:numFmt w:val="lowerLetter"/>
      <w:start w:val="1"/>
    </w:lvl>
  </w:abstractNum>
  <w:abstractNum w:abstractNumId="14">
    <w:nsid w:val="77AE35EB"/>
    <w:multiLevelType w:val="hybridMultilevel"/>
    <w:lvl w:ilvl="0">
      <w:lvlJc w:val="left"/>
      <w:lvlText w:val="%1."/>
      <w:numFmt w:val="decimal"/>
      <w:start w:val="13"/>
    </w:lvl>
  </w:abstractNum>
  <w:abstractNum w:abstractNumId="15">
    <w:nsid w:val="579BE4F1"/>
    <w:multiLevelType w:val="hybridMultilevel"/>
    <w:lvl w:ilvl="0">
      <w:lvlJc w:val="left"/>
      <w:lvlText w:val="%1"/>
      <w:numFmt w:val="decimal"/>
      <w:start w:val="1"/>
    </w:lvl>
    <w:lvl w:ilvl="1">
      <w:lvlJc w:val="left"/>
      <w:lvlText w:val="(%2)"/>
      <w:numFmt w:val="decimal"/>
      <w:start w:val="2"/>
    </w:lvl>
  </w:abstractNum>
  <w:abstractNum w:abstractNumId="16">
    <w:nsid w:val="310C50B3"/>
    <w:multiLevelType w:val="hybridMultilevel"/>
    <w:lvl w:ilvl="0">
      <w:lvlJc w:val="left"/>
      <w:lvlText w:val="%1."/>
      <w:numFmt w:val="decimal"/>
      <w:start w:val="14"/>
    </w:lvl>
    <w:lvl w:ilvl="1">
      <w:lvlJc w:val="left"/>
      <w:lvlText w:val="%2"/>
      <w:numFmt w:val="decimal"/>
      <w:start w:val="1"/>
    </w:lvl>
  </w:abstractNum>
  <w:abstractNum w:abstractNumId="17">
    <w:nsid w:val="5FF87E05"/>
    <w:multiLevelType w:val="hybridMultilevel"/>
    <w:lvl w:ilvl="0">
      <w:lvlJc w:val="left"/>
      <w:lvlText w:val="%1."/>
      <w:numFmt w:val="decimal"/>
      <w:start w:val="17"/>
    </w:lvl>
  </w:abstractNum>
  <w:abstractNum w:abstractNumId="18">
    <w:nsid w:val="2F305DEF"/>
    <w:multiLevelType w:val="hybridMultilevel"/>
    <w:lvl w:ilvl="0">
      <w:lvlJc w:val="left"/>
      <w:lvlText w:val="%1."/>
      <w:numFmt w:val="decimal"/>
      <w:start w:val="18"/>
    </w:lvl>
    <w:lvl w:ilvl="1">
      <w:lvlJc w:val="left"/>
      <w:lvlText w:val="(%2)"/>
      <w:numFmt w:val="decimal"/>
      <w:start w:val="2"/>
    </w:lvl>
  </w:abstractNum>
  <w:abstractNum w:abstractNumId="19">
    <w:nsid w:val="25A70BF7"/>
    <w:multiLevelType w:val="hybridMultilevel"/>
    <w:lvl w:ilvl="0">
      <w:lvlJc w:val="left"/>
      <w:lvlText w:val="%1."/>
      <w:numFmt w:val="decimal"/>
      <w:start w:val="23"/>
    </w:lvl>
  </w:abstractNum>
  <w:abstractNum w:abstractNumId="20">
    <w:nsid w:val="1DBABF00"/>
    <w:multiLevelType w:val="hybridMultilevel"/>
    <w:lvl w:ilvl="0">
      <w:lvlJc w:val="left"/>
      <w:lvlText w:val="%1."/>
      <w:numFmt w:val="decimal"/>
      <w:start w:val="26"/>
    </w:lvl>
  </w:abstractNum>
  <w:abstractNum w:abstractNumId="21">
    <w:nsid w:val="4AD084E9"/>
    <w:multiLevelType w:val="hybridMultilevel"/>
    <w:lvl w:ilvl="0">
      <w:lvlJc w:val="left"/>
      <w:lvlText w:val="%1."/>
      <w:numFmt w:val="decimal"/>
      <w:start w:val="27"/>
    </w:lvl>
  </w:abstractNum>
  <w:abstractNum w:abstractNumId="22">
    <w:nsid w:val="1F48EAA1"/>
    <w:multiLevelType w:val="hybridMultilevel"/>
    <w:lvl w:ilvl="0">
      <w:lvlJc w:val="left"/>
      <w:lvlText w:val="%1."/>
      <w:numFmt w:val="decimal"/>
      <w:start w:val="35"/>
    </w:lvl>
    <w:lvl w:ilvl="1">
      <w:lvlJc w:val="left"/>
      <w:lvlText w:val="(%2)"/>
      <w:numFmt w:val="lowerLetter"/>
      <w:start w:val="1"/>
    </w:lvl>
  </w:abstractNum>
  <w:abstractNum w:abstractNumId="23">
    <w:nsid w:val="1381823A"/>
    <w:multiLevelType w:val="hybridMultilevel"/>
    <w:lvl w:ilvl="0">
      <w:lvlJc w:val="left"/>
      <w:lvlText w:val="%1"/>
      <w:numFmt w:val="decimal"/>
      <w:start w:val="1"/>
    </w:lvl>
    <w:lvl w:ilvl="1">
      <w:lvlJc w:val="left"/>
      <w:lvlText w:val="(%2)"/>
      <w:numFmt w:val="decimal"/>
      <w:start w:val="2"/>
    </w:lvl>
  </w:abstractNum>
  <w:abstractNum w:abstractNumId="24">
    <w:nsid w:val="5DB70AE5"/>
    <w:multiLevelType w:val="hybridMultilevel"/>
    <w:lvl w:ilvl="0">
      <w:lvlJc w:val="left"/>
      <w:lvlText w:val="%1."/>
      <w:numFmt w:val="decimal"/>
      <w:start w:val="36"/>
    </w:lvl>
    <w:lvl w:ilvl="1">
      <w:lvlJc w:val="left"/>
      <w:lvlText w:val="%2"/>
      <w:numFmt w:val="decimal"/>
      <w:start w:val="1"/>
    </w:lvl>
  </w:abstractNum>
  <w:abstractNum w:abstractNumId="25">
    <w:nsid w:val="100F8FCA"/>
    <w:multiLevelType w:val="hybridMultilevel"/>
    <w:lvl w:ilvl="0">
      <w:lvlJc w:val="left"/>
      <w:lvlText w:val="%1."/>
      <w:numFmt w:val="decimal"/>
      <w:start w:val="40"/>
    </w:lvl>
  </w:abstractNum>
  <w:abstractNum w:abstractNumId="26">
    <w:nsid w:val="6590700B"/>
    <w:multiLevelType w:val="hybridMultilevel"/>
    <w:lvl w:ilvl="0">
      <w:lvlJc w:val="left"/>
      <w:lvlText w:val="%1."/>
      <w:numFmt w:val="decimal"/>
      <w:start w:val="44"/>
    </w:lvl>
    <w:lvl w:ilvl="1">
      <w:lvlJc w:val="left"/>
      <w:lvlText w:val="(%2)"/>
      <w:numFmt w:val="lowerLetter"/>
      <w:start w:val="1"/>
    </w:lvl>
  </w:abstractNum>
  <w:abstractNum w:abstractNumId="27">
    <w:nsid w:val="15014ACB"/>
    <w:multiLevelType w:val="hybridMultilevel"/>
    <w:lvl w:ilvl="0">
      <w:lvlJc w:val="left"/>
      <w:lvlText w:val="(%1)"/>
      <w:numFmt w:val="decimal"/>
      <w:start w:val="2"/>
    </w:lvl>
  </w:abstractNum>
  <w:abstractNum w:abstractNumId="28">
    <w:nsid w:val="5F5E7FD0"/>
    <w:multiLevelType w:val="hybridMultilevel"/>
    <w:lvl w:ilvl="0">
      <w:lvlJc w:val="left"/>
      <w:lvlText w:val="%1."/>
      <w:numFmt w:val="decimal"/>
      <w:start w:val="45"/>
    </w:lvl>
  </w:abstractNum>
  <w:abstractNum w:abstractNumId="29">
    <w:nsid w:val="98A3148"/>
    <w:multiLevelType w:val="hybridMultilevel"/>
    <w:lvl w:ilvl="0">
      <w:lvlJc w:val="left"/>
      <w:lvlText w:val="%1."/>
      <w:numFmt w:val="decimal"/>
      <w:start w:val="46"/>
    </w:lvl>
  </w:abstractNum>
  <w:abstractNum w:abstractNumId="30">
    <w:nsid w:val="799D0247"/>
    <w:multiLevelType w:val="hybridMultilevel"/>
    <w:lvl w:ilvl="0">
      <w:lvlJc w:val="left"/>
      <w:lvlText w:val="%1."/>
      <w:numFmt w:val="decimal"/>
      <w:start w:val="47"/>
    </w:lvl>
  </w:abstractNum>
  <w:abstractNum w:abstractNumId="31">
    <w:nsid w:val="6B94764"/>
    <w:multiLevelType w:val="hybridMultilevel"/>
    <w:lvl w:ilvl="0">
      <w:lvlJc w:val="left"/>
      <w:lvlText w:val="%1."/>
      <w:numFmt w:val="decimal"/>
      <w:start w:val="48"/>
    </w:lvl>
    <w:lvl w:ilvl="1">
      <w:lvlJc w:val="left"/>
      <w:lvlText w:val="(%2)"/>
      <w:numFmt w:val="decimal"/>
      <w:start w:val="2"/>
    </w:lvl>
  </w:abstractNum>
  <w:abstractNum w:abstractNumId="32">
    <w:nsid w:val="42C296BD"/>
    <w:multiLevelType w:val="hybridMultilevel"/>
    <w:lvl w:ilvl="0">
      <w:lvlJc w:val="left"/>
      <w:lvlText w:val="%1"/>
      <w:numFmt w:val="decimal"/>
      <w:start w:val="1"/>
    </w:lvl>
    <w:lvl w:ilvl="1">
      <w:lvlJc w:val="left"/>
      <w:lvlText w:val="(%2)"/>
      <w:numFmt w:val="lowerLetter"/>
      <w:start w:val="1"/>
    </w:lvl>
  </w:abstractNum>
  <w:abstractNum w:abstractNumId="33">
    <w:nsid w:val="168E121F"/>
    <w:multiLevelType w:val="hybridMultilevel"/>
    <w:lvl w:ilvl="0">
      <w:lvlJc w:val="left"/>
      <w:lvlText w:val="%1."/>
      <w:numFmt w:val="decimal"/>
      <w:start w:val="51"/>
    </w:lvl>
    <w:lvl w:ilvl="1">
      <w:lvlJc w:val="left"/>
      <w:lvlText w:val="%2"/>
      <w:numFmt w:val="lowerLetter"/>
      <w:start w:val="1"/>
    </w:lvl>
  </w:abstractNum>
  <w:abstractNum w:abstractNumId="34">
    <w:nsid w:val="1EBA5D23"/>
    <w:multiLevelType w:val="hybridMultilevel"/>
    <w:lvl w:ilvl="0">
      <w:lvlJc w:val="left"/>
      <w:lvlText w:val="%1."/>
      <w:numFmt w:val="decimal"/>
      <w:start w:val="52"/>
    </w:lvl>
  </w:abstractNum>
  <w:abstractNum w:abstractNumId="35">
    <w:nsid w:val="661E3F1E"/>
    <w:multiLevelType w:val="hybridMultilevel"/>
    <w:lvl w:ilvl="0">
      <w:lvlJc w:val="left"/>
      <w:lvlText w:val="%1."/>
      <w:numFmt w:val="decimal"/>
      <w:start w:val="53"/>
    </w:lvl>
  </w:abstractNum>
  <w:abstractNum w:abstractNumId="36">
    <w:nsid w:val="5DC79EA8"/>
    <w:multiLevelType w:val="hybridMultilevel"/>
    <w:lvl w:ilvl="0">
      <w:lvlJc w:val="left"/>
      <w:lvlText w:val="%1."/>
      <w:numFmt w:val="decimal"/>
      <w:start w:val="56"/>
    </w:lvl>
    <w:lvl w:ilvl="1">
      <w:lvlJc w:val="left"/>
      <w:lvlText w:val="(%2)"/>
      <w:numFmt w:val="decimal"/>
      <w:start w:val="2"/>
    </w:lvl>
  </w:abstractNum>
  <w:abstractNum w:abstractNumId="37">
    <w:nsid w:val="540A471C"/>
    <w:multiLevelType w:val="hybridMultilevel"/>
    <w:lvl w:ilvl="0">
      <w:lvlJc w:val="left"/>
      <w:lvlText w:val="(%1)"/>
      <w:numFmt w:val="lowerLetter"/>
      <w:start w:val="1"/>
    </w:lvl>
  </w:abstractNum>
  <w:abstractNum w:abstractNumId="38">
    <w:nsid w:val="7BD3EE7B"/>
    <w:multiLevelType w:val="hybridMultilevel"/>
    <w:lvl w:ilvl="0">
      <w:lvlJc w:val="left"/>
      <w:lvlText w:val="(%1)"/>
      <w:numFmt w:val="decimal"/>
      <w:start w:val="3"/>
    </w:lvl>
  </w:abstractNum>
  <w:abstractNum w:abstractNumId="39">
    <w:nsid w:val="51D9C564"/>
    <w:multiLevelType w:val="hybridMultilevel"/>
    <w:lvl w:ilvl="0">
      <w:lvlJc w:val="left"/>
      <w:lvlText w:val="%1."/>
      <w:numFmt w:val="decimal"/>
      <w:start w:val="57"/>
    </w:lvl>
  </w:abstractNum>
  <w:abstractNum w:abstractNumId="40">
    <w:nsid w:val="613EFDC5"/>
    <w:multiLevelType w:val="hybridMultilevel"/>
    <w:lvl w:ilvl="0">
      <w:lvlJc w:val="left"/>
      <w:lvlText w:val="%1."/>
      <w:numFmt w:val="decimal"/>
      <w:start w:val="60"/>
    </w:lvl>
    <w:lvl w:ilvl="1">
      <w:lvlJc w:val="left"/>
      <w:lvlText w:val="(%2)"/>
      <w:numFmt w:val="lowerLetter"/>
      <w:start w:val="1"/>
    </w:lvl>
  </w:abstractNum>
  <w:abstractNum w:abstractNumId="41">
    <w:nsid w:val="BF72B14"/>
    <w:multiLevelType w:val="hybridMultilevel"/>
    <w:lvl w:ilvl="0">
      <w:lvlJc w:val="left"/>
      <w:lvlText w:val="%1"/>
      <w:numFmt w:val="decimal"/>
      <w:start w:val="1"/>
    </w:lvl>
    <w:lvl w:ilvl="1">
      <w:lvlJc w:val="left"/>
      <w:lvlText w:val="(%2)"/>
      <w:numFmt w:val="decimal"/>
      <w:start w:val="2"/>
    </w:lvl>
  </w:abstractNum>
  <w:abstractNum w:abstractNumId="42">
    <w:nsid w:val="11447B73"/>
    <w:multiLevelType w:val="hybridMultilevel"/>
    <w:lvl w:ilvl="0">
      <w:lvlJc w:val="left"/>
      <w:lvlText w:val="%1."/>
      <w:numFmt w:val="decimal"/>
      <w:start w:val="61"/>
    </w:lvl>
    <w:lvl w:ilvl="1">
      <w:lvlJc w:val="left"/>
      <w:lvlText w:val="%2"/>
      <w:numFmt w:val="decimal"/>
      <w:start w:val="1"/>
    </w:lvl>
  </w:abstractNum>
  <w:abstractNum w:abstractNumId="43">
    <w:nsid w:val="42963E5A"/>
    <w:multiLevelType w:val="hybridMultilevel"/>
    <w:lvl w:ilvl="0">
      <w:lvlJc w:val="left"/>
      <w:lvlText w:val="%1."/>
      <w:numFmt w:val="decimal"/>
      <w:start w:val="62"/>
    </w:lvl>
  </w:abstractNum>
  <w:abstractNum w:abstractNumId="44">
    <w:nsid w:val="A0382C5"/>
    <w:multiLevelType w:val="hybridMultilevel"/>
    <w:lvl w:ilvl="0">
      <w:lvlJc w:val="left"/>
      <w:lvlText w:val="%1."/>
      <w:numFmt w:val="decimal"/>
      <w:start w:val="64"/>
    </w:lvl>
  </w:abstractNum>
  <w:abstractNum w:abstractNumId="45">
    <w:nsid w:val="8F2B15E"/>
    <w:multiLevelType w:val="hybridMultilevel"/>
    <w:lvl w:ilvl="0">
      <w:lvlJc w:val="left"/>
      <w:lvlText w:val="(%1)"/>
      <w:numFmt w:val="decimal"/>
      <w:start w:val="2"/>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1)"/>
      <w:numFmt w:val="lowerLetter"/>
      <w:start w:val="1"/>
    </w:lvl>
  </w:abstractNum>
  <w:abstractNum w:abstractNumId="48">
    <w:nsid w:val="68EB2F63"/>
    <w:multiLevelType w:val="hybridMultilevel"/>
    <w:lvl w:ilvl="0">
      <w:lvlJc w:val="left"/>
      <w:lvlText w:val="(%1)"/>
      <w:numFmt w:val="lowerLetter"/>
      <w:start w:val="1"/>
    </w:lvl>
  </w:abstractNum>
  <w:abstractNum w:abstractNumId="49">
    <w:nsid w:val="4962813B"/>
    <w:multiLevelType w:val="hybridMultilevel"/>
    <w:lvl w:ilvl="0">
      <w:lvlJc w:val="left"/>
      <w:lvlText w:val="%1."/>
      <w:numFmt w:val="decimal"/>
      <w:start w:val="66"/>
    </w:lvl>
  </w:abstractNum>
  <w:abstractNum w:abstractNumId="50">
    <w:nsid w:val="60B6DF70"/>
    <w:multiLevelType w:val="hybridMultilevel"/>
    <w:lvl w:ilvl="0">
      <w:lvlJc w:val="left"/>
      <w:lvlText w:val="%1."/>
      <w:numFmt w:val="decimal"/>
      <w:start w:val="67"/>
    </w:lvl>
    <w:lvl w:ilvl="1">
      <w:lvlJc w:val="left"/>
      <w:lvlText w:val="(%2)"/>
      <w:numFmt w:val="lowerLetter"/>
      <w:start w:val="1"/>
    </w:lvl>
  </w:abstractNum>
  <w:abstractNum w:abstractNumId="51">
    <w:nsid w:val="6A5EE64"/>
    <w:multiLevelType w:val="hybridMultilevel"/>
    <w:lvl w:ilvl="0">
      <w:lvlJc w:val="left"/>
      <w:lvlText w:val="%1."/>
      <w:numFmt w:val="decimal"/>
      <w:start w:val="68"/>
    </w:lvl>
  </w:abstractNum>
  <w:abstractNum w:abstractNumId="52">
    <w:nsid w:val="14330624"/>
    <w:multiLevelType w:val="hybridMultilevel"/>
    <w:lvl w:ilvl="0">
      <w:lvlJc w:val="left"/>
      <w:lvlText w:val="%1."/>
      <w:numFmt w:val="decimal"/>
      <w:start w:val="75"/>
    </w:lvl>
    <w:lvl w:ilvl="1">
      <w:lvlJc w:val="left"/>
      <w:lvlText w:val="(%2)"/>
      <w:numFmt w:val="decimal"/>
      <w:start w:val="2"/>
    </w:lvl>
  </w:abstractNum>
  <w:abstractNum w:abstractNumId="53">
    <w:nsid w:val="7FFFCA11"/>
    <w:multiLevelType w:val="hybridMultilevel"/>
    <w:lvl w:ilvl="0">
      <w:lvlJc w:val="left"/>
      <w:lvlText w:val="(%1)"/>
      <w:numFmt w:val="lowerLetter"/>
      <w:start w:val="1"/>
    </w:lvl>
  </w:abstractNum>
  <w:abstractNum w:abstractNumId="54">
    <w:nsid w:val="1A27709E"/>
    <w:multiLevelType w:val="hybridMultilevel"/>
    <w:lvl w:ilvl="0">
      <w:lvlJc w:val="left"/>
      <w:lvlText w:val="%1."/>
      <w:numFmt w:val="decimal"/>
      <w:start w:val="79"/>
    </w:lvl>
  </w:abstractNum>
  <w:abstractNum w:abstractNumId="55">
    <w:nsid w:val="71EA1109"/>
    <w:multiLevelType w:val="hybridMultilevel"/>
    <w:lvl w:ilvl="0">
      <w:lvlJc w:val="left"/>
      <w:lvlText w:val="%1."/>
      <w:numFmt w:val="decimal"/>
      <w:start w:val="81"/>
    </w:lvl>
    <w:lvl w:ilvl="1">
      <w:lvlJc w:val="left"/>
      <w:lvlText w:val="(%2)"/>
      <w:numFmt w:val="decimal"/>
      <w:start w:val="2"/>
    </w:lvl>
  </w:abstractNum>
  <w:abstractNum w:abstractNumId="56">
    <w:nsid w:val="100F59DC"/>
    <w:multiLevelType w:val="hybridMultilevel"/>
    <w:lvl w:ilvl="0">
      <w:lvlJc w:val="left"/>
      <w:lvlText w:val="%1."/>
      <w:numFmt w:val="decimal"/>
      <w:start w:val="85"/>
    </w:lvl>
  </w:abstractNum>
  <w:abstractNum w:abstractNumId="57">
    <w:nsid w:val="7FB7E0AA"/>
    <w:multiLevelType w:val="hybridMultilevel"/>
    <w:lvl w:ilvl="0">
      <w:lvlJc w:val="left"/>
      <w:lvlText w:val="(%1)"/>
      <w:numFmt w:val="decimal"/>
      <w:start w:val="2"/>
    </w:lvl>
  </w:abstractNum>
  <w:abstractNum w:abstractNumId="58">
    <w:nsid w:val="6EB5BD4"/>
    <w:multiLevelType w:val="hybridMultilevel"/>
    <w:lvl w:ilvl="0">
      <w:lvlJc w:val="left"/>
      <w:lvlText w:val="%1."/>
      <w:numFmt w:val="decimal"/>
      <w:start w:val="86"/>
    </w:lvl>
  </w:abstractNum>
  <w:abstractNum w:abstractNumId="59">
    <w:nsid w:val="6F6DD9AC"/>
    <w:multiLevelType w:val="hybridMultilevel"/>
    <w:lvl w:ilvl="0">
      <w:lvlJc w:val="left"/>
      <w:lvlText w:val="%1."/>
      <w:numFmt w:val="decimal"/>
      <w:start w:val="87"/>
    </w:lvl>
    <w:lvl w:ilvl="1">
      <w:lvlJc w:val="left"/>
      <w:lvlText w:val="(%2)"/>
      <w:numFmt w:val="decimal"/>
      <w:start w:val="2"/>
    </w:lvl>
  </w:abstractNum>
  <w:abstractNum w:abstractNumId="60">
    <w:nsid w:val="94211F2"/>
    <w:multiLevelType w:val="hybridMultilevel"/>
    <w:lvl w:ilvl="0">
      <w:lvlJc w:val="left"/>
      <w:lvlText w:val="%1"/>
      <w:numFmt w:val="decimal"/>
      <w:start w:val="1"/>
    </w:lvl>
    <w:lvl w:ilvl="1">
      <w:lvlJc w:val="left"/>
      <w:lvlText w:val="(%2)"/>
      <w:numFmt w:val="decimal"/>
      <w:start w:val="1"/>
    </w:lvl>
  </w:abstractNum>
  <w:abstractNum w:abstractNumId="61">
    <w:nsid w:val="885E1B"/>
    <w:multiLevelType w:val="hybridMultilevel"/>
    <w:lvl w:ilvl="0">
      <w:lvlJc w:val="left"/>
      <w:lvlText w:val="%1"/>
      <w:numFmt w:val="decimal"/>
      <w:start w:val="1"/>
    </w:lvl>
    <w:lvl w:ilvl="1">
      <w:lvlJc w:val="left"/>
      <w:lvlText w:val="(%2)"/>
      <w:numFmt w:val="decimal"/>
      <w:start w:val="4"/>
    </w:lvl>
  </w:abstractNum>
  <w:abstractNum w:abstractNumId="62">
    <w:nsid w:val="76272110"/>
    <w:multiLevelType w:val="hybridMultilevel"/>
    <w:lvl w:ilvl="0">
      <w:lvlJc w:val="left"/>
      <w:lvlText w:val="%1."/>
      <w:numFmt w:val="decimal"/>
      <w:start w:val="90"/>
    </w:lvl>
    <w:lvl w:ilvl="1">
      <w:lvlJc w:val="left"/>
      <w:lvlText w:val="%2"/>
      <w:numFmt w:val="decimal"/>
      <w:start w:val="1"/>
    </w:lvl>
  </w:abstractNum>
  <w:abstractNum w:abstractNumId="63">
    <w:nsid w:val="4C04A8AF"/>
    <w:multiLevelType w:val="hybridMultilevel"/>
    <w:lvl w:ilvl="0">
      <w:lvlJc w:val="left"/>
      <w:lvlText w:val="%1."/>
      <w:numFmt w:val="decimal"/>
      <w:start w:val="92"/>
    </w:lvl>
  </w:abstractNum>
  <w:abstractNum w:abstractNumId="64">
    <w:nsid w:val="1716703B"/>
    <w:multiLevelType w:val="hybridMultilevel"/>
    <w:lvl w:ilvl="0">
      <w:lvlJc w:val="left"/>
      <w:lvlText w:val="%1."/>
      <w:numFmt w:val="decimal"/>
      <w:start w:val="96"/>
    </w:lvl>
    <w:lvl w:ilvl="1">
      <w:lvlJc w:val="left"/>
      <w:lvlText w:val="(%2)"/>
      <w:numFmt w:val="lowerLetter"/>
      <w:start w:val="1"/>
    </w:lvl>
  </w:abstractNum>
  <w:abstractNum w:abstractNumId="65">
    <w:nsid w:val="14E17E33"/>
    <w:multiLevelType w:val="hybridMultilevel"/>
    <w:lvl w:ilvl="0">
      <w:lvlJc w:val="left"/>
      <w:lvlText w:val="(%1)"/>
      <w:numFmt w:val="lowerLetter"/>
      <w:start w:val="3"/>
    </w:lvl>
  </w:abstractNum>
  <w:abstractNum w:abstractNumId="66">
    <w:nsid w:val="3222E7CD"/>
    <w:multiLevelType w:val="hybridMultilevel"/>
    <w:lvl w:ilvl="0">
      <w:lvlJc w:val="left"/>
      <w:lvlText w:val="%1."/>
      <w:numFmt w:val="decimal"/>
      <w:start w:val="97"/>
    </w:lvl>
    <w:lvl w:ilvl="1">
      <w:lvlJc w:val="left"/>
      <w:lvlText w:val="(%2)"/>
      <w:numFmt w:val="lowerLetter"/>
      <w:start w:val="1"/>
    </w:lvl>
  </w:abstractNum>
  <w:abstractNum w:abstractNumId="67">
    <w:nsid w:val="74DE0EE3"/>
    <w:multiLevelType w:val="hybridMultilevel"/>
    <w:lvl w:ilvl="0">
      <w:lvlJc w:val="left"/>
      <w:lvlText w:val="%1."/>
      <w:numFmt w:val="decimal"/>
      <w:start w:val="99"/>
    </w:lvl>
  </w:abstractNum>
  <w:abstractNum w:abstractNumId="68">
    <w:nsid w:val="68EBC550"/>
    <w:multiLevelType w:val="hybridMultilevel"/>
    <w:lvl w:ilvl="0">
      <w:lvlJc w:val="left"/>
      <w:lvlText w:val="%1."/>
      <w:numFmt w:val="decimal"/>
      <w:start w:val="100"/>
    </w:lvl>
    <w:lvl w:ilvl="1">
      <w:lvlJc w:val="left"/>
      <w:lvlText w:val="(%2)"/>
      <w:numFmt w:val="decimal"/>
      <w:start w:val="2"/>
    </w:lvl>
  </w:abstractNum>
  <w:abstractNum w:abstractNumId="69">
    <w:nsid w:val="2DF6D648"/>
    <w:multiLevelType w:val="hybridMultilevel"/>
    <w:lvl w:ilvl="0">
      <w:lvlJc w:val="left"/>
      <w:lvlText w:val="%1"/>
      <w:numFmt w:val="decimal"/>
      <w:start w:val="1"/>
    </w:lvl>
    <w:lvl w:ilvl="1">
      <w:lvlJc w:val="left"/>
      <w:lvlText w:val="(%2)"/>
      <w:numFmt w:val="lowerLetter"/>
      <w:start w:val="1"/>
    </w:lvl>
  </w:abstractNum>
  <w:abstractNum w:abstractNumId="70">
    <w:nsid w:val="46B7D447"/>
    <w:multiLevelType w:val="hybridMultilevel"/>
    <w:lvl w:ilvl="0">
      <w:lvlJc w:val="left"/>
      <w:lvlText w:val="%1."/>
      <w:numFmt w:val="decimal"/>
      <w:start w:val="101"/>
    </w:lvl>
    <w:lvl w:ilvl="1">
      <w:lvlJc w:val="left"/>
      <w:lvlText w:val="%2"/>
      <w:numFmt w:val="lowerLetter"/>
      <w:start w:val="1"/>
    </w:lvl>
  </w:abstractNum>
  <w:abstractNum w:abstractNumId="71">
    <w:nsid w:val="4A2AC315"/>
    <w:multiLevelType w:val="hybridMultilevel"/>
    <w:lvl w:ilvl="0">
      <w:lvlJc w:val="left"/>
      <w:lvlText w:val="(%1)"/>
      <w:numFmt w:val="decimal"/>
      <w:start w:val="2"/>
    </w:lvl>
  </w:abstractNum>
  <w:abstractNum w:abstractNumId="72">
    <w:nsid w:val="39EE015C"/>
    <w:multiLevelType w:val="hybridMultilevel"/>
    <w:lvl w:ilvl="0">
      <w:lvlJc w:val="left"/>
      <w:lvlText w:val="%1."/>
      <w:numFmt w:val="decimal"/>
      <w:start w:val="106"/>
    </w:lvl>
    <w:lvl w:ilvl="1">
      <w:lvlJc w:val="left"/>
      <w:lvlText w:val="(%2)"/>
      <w:numFmt w:val="decimal"/>
      <w:start w:val="2"/>
    </w:lvl>
  </w:abstractNum>
  <w:abstractNum w:abstractNumId="73">
    <w:nsid w:val="57FC4FBB"/>
    <w:multiLevelType w:val="hybridMultilevel"/>
    <w:lvl w:ilvl="0">
      <w:lvlJc w:val="left"/>
      <w:lvlText w:val="%1."/>
      <w:numFmt w:val="decimal"/>
      <w:start w:val="110"/>
    </w:lvl>
    <w:lvl w:ilvl="1">
      <w:lvlJc w:val="left"/>
      <w:lvlText w:val="(%2)"/>
      <w:numFmt w:val="decimal"/>
      <w:start w:val="2"/>
    </w:lvl>
  </w:abstractNum>
  <w:abstractNum w:abstractNumId="74">
    <w:nsid w:val="CC1016F"/>
    <w:multiLevelType w:val="hybridMultilevel"/>
    <w:lvl w:ilvl="0">
      <w:lvlJc w:val="left"/>
      <w:lvlText w:val="%1."/>
      <w:numFmt w:val="decimal"/>
      <w:start w:val="114"/>
    </w:lvl>
    <w:lvl w:ilvl="1">
      <w:lvlJc w:val="left"/>
      <w:lvlText w:val="(%2)"/>
      <w:numFmt w:val="decimal"/>
      <w:start w:val="2"/>
    </w:lvl>
  </w:abstractNum>
  <w:abstractNum w:abstractNumId="75">
    <w:nsid w:val="43F18422"/>
    <w:multiLevelType w:val="hybridMultilevel"/>
    <w:lvl w:ilvl="0">
      <w:lvlJc w:val="left"/>
      <w:lvlText w:val="%1."/>
      <w:numFmt w:val="decimal"/>
      <w:start w:val="120"/>
    </w:lvl>
    <w:lvl w:ilvl="1">
      <w:lvlJc w:val="left"/>
      <w:lvlText w:val="(%2)"/>
      <w:numFmt w:val="decimal"/>
      <w:start w:val="2"/>
    </w:lvl>
  </w:abstractNum>
  <w:abstractNum w:abstractNumId="76">
    <w:nsid w:val="60EF0119"/>
    <w:multiLevelType w:val="hybridMultilevel"/>
    <w:lvl w:ilvl="0">
      <w:lvlJc w:val="left"/>
      <w:lvlText w:val="%1."/>
      <w:numFmt w:val="decimal"/>
      <w:start w:val="124"/>
    </w:lvl>
  </w:abstractNum>
  <w:abstractNum w:abstractNumId="77">
    <w:nsid w:val="26F324BA"/>
    <w:multiLevelType w:val="hybridMultilevel"/>
    <w:lvl w:ilvl="0">
      <w:lvlJc w:val="left"/>
      <w:lvlText w:val="%1."/>
      <w:numFmt w:val="decimal"/>
      <w:start w:val="126"/>
    </w:lvl>
  </w:abstractNum>
  <w:abstractNum w:abstractNumId="78">
    <w:nsid w:val="7F01579B"/>
    <w:multiLevelType w:val="hybridMultilevel"/>
    <w:lvl w:ilvl="0">
      <w:lvlJc w:val="left"/>
      <w:lvlText w:val="%1."/>
      <w:numFmt w:val="decimal"/>
      <w:start w:val="127"/>
    </w:lvl>
    <w:lvl w:ilvl="1">
      <w:lvlJc w:val="left"/>
      <w:lvlText w:val="(%2)"/>
      <w:numFmt w:val="lowerLetter"/>
      <w:start w:val="1"/>
    </w:lvl>
  </w:abstractNum>
  <w:abstractNum w:abstractNumId="79">
    <w:nsid w:val="49DA307D"/>
    <w:multiLevelType w:val="hybridMultilevel"/>
    <w:lvl w:ilvl="0">
      <w:lvlJc w:val="left"/>
      <w:lvlText w:val="(%1)"/>
      <w:numFmt w:val="decimal"/>
      <w:start w:val="2"/>
    </w:lvl>
  </w:abstractNum>
  <w:abstractNum w:abstractNumId="80">
    <w:nsid w:val="7055A5F5"/>
    <w:multiLevelType w:val="hybridMultilevel"/>
    <w:lvl w:ilvl="0">
      <w:lvlJc w:val="left"/>
      <w:lvlText w:val="%1."/>
      <w:numFmt w:val="decimal"/>
      <w:start w:val="128"/>
    </w:lvl>
    <w:lvl w:ilvl="1">
      <w:lvlJc w:val="left"/>
      <w:lvlText w:val="(%2)"/>
      <w:numFmt w:val="decimal"/>
      <w:start w:val="2"/>
    </w:lvl>
  </w:abstractNum>
  <w:abstractNum w:abstractNumId="81">
    <w:nsid w:val="5FB8370B"/>
    <w:multiLevelType w:val="hybridMultilevel"/>
    <w:lvl w:ilvl="0">
      <w:lvlJc w:val="left"/>
      <w:lvlText w:val="%1."/>
      <w:numFmt w:val="decimal"/>
      <w:start w:val="129"/>
    </w:lvl>
  </w:abstractNum>
  <w:abstractNum w:abstractNumId="82">
    <w:nsid w:val="50801EE1"/>
    <w:multiLevelType w:val="hybridMultilevel"/>
    <w:lvl w:ilvl="0">
      <w:lvlJc w:val="left"/>
      <w:lvlText w:val="%1."/>
      <w:numFmt w:val="decimal"/>
      <w:start w:val="130"/>
    </w:lvl>
    <w:lvl w:ilvl="1">
      <w:lvlJc w:val="left"/>
      <w:lvlText w:val="(%2)"/>
      <w:numFmt w:val="lowerLetter"/>
      <w:start w:val="1"/>
    </w:lvl>
  </w:abstractNum>
  <w:abstractNum w:abstractNumId="83">
    <w:nsid w:val="488AC1A"/>
    <w:multiLevelType w:val="hybridMultilevel"/>
    <w:lvl w:ilvl="0">
      <w:lvlJc w:val="left"/>
      <w:lvlText w:val="(%1)"/>
      <w:numFmt w:val="decimal"/>
      <w:start w:val="2"/>
    </w:lvl>
  </w:abstractNum>
  <w:abstractNum w:abstractNumId="84">
    <w:nsid w:val="5FB8011C"/>
    <w:multiLevelType w:val="hybridMultilevel"/>
    <w:lvl w:ilvl="0">
      <w:lvlJc w:val="left"/>
      <w:lvlText w:val="%1."/>
      <w:numFmt w:val="decimal"/>
      <w:start w:val="131"/>
    </w:lvl>
    <w:lvl w:ilvl="1">
      <w:lvlJc w:val="left"/>
      <w:lvlText w:val="(%2)"/>
      <w:numFmt w:val="lowerLetter"/>
      <w:start w:val="1"/>
    </w:lvl>
  </w:abstractNum>
  <w:abstractNum w:abstractNumId="85">
    <w:nsid w:val="6AA78F7F"/>
    <w:multiLevelType w:val="hybridMultilevel"/>
    <w:lvl w:ilvl="0">
      <w:lvlJc w:val="left"/>
      <w:lvlText w:val="%1."/>
      <w:numFmt w:val="decimal"/>
      <w:start w:val="136"/>
    </w:lvl>
  </w:abstractNum>
  <w:abstractNum w:abstractNumId="86">
    <w:nsid w:val="7672BD23"/>
    <w:multiLevelType w:val="hybridMultilevel"/>
    <w:lvl w:ilvl="0">
      <w:lvlJc w:val="left"/>
      <w:lvlText w:val="%1."/>
      <w:numFmt w:val="decimal"/>
      <w:start w:val="140"/>
    </w:lvl>
    <w:lvl w:ilvl="1">
      <w:lvlJc w:val="left"/>
      <w:lvlText w:val="(%2)"/>
      <w:numFmt w:val="lowerLetter"/>
      <w:start w:val="1"/>
    </w:lvl>
    <w:lvl w:ilvl="2">
      <w:lvlJc w:val="left"/>
      <w:lvlText w:val="(%3)"/>
      <w:numFmt w:val="lowerRoman"/>
      <w:start w:val="1"/>
    </w:lvl>
  </w:abstractNum>
  <w:abstractNum w:abstractNumId="87">
    <w:nsid w:val="6FC75AF8"/>
    <w:multiLevelType w:val="hybridMultilevel"/>
    <w:lvl w:ilvl="0">
      <w:lvlJc w:val="left"/>
      <w:lvlText w:val="%1"/>
      <w:numFmt w:val="decimal"/>
      <w:start w:val="1"/>
    </w:lvl>
    <w:lvl w:ilvl="1">
      <w:lvlJc w:val="left"/>
      <w:lvlText w:val="(%2)"/>
      <w:numFmt w:val="lowerRoman"/>
      <w:start w:val="2"/>
    </w:lvl>
  </w:abstractNum>
  <w:abstractNum w:abstractNumId="88">
    <w:nsid w:val="6A5F7029"/>
    <w:multiLevelType w:val="hybridMultilevel"/>
    <w:lvl w:ilvl="0">
      <w:lvlJc w:val="left"/>
      <w:lvlText w:val="(%1)"/>
      <w:numFmt w:val="decimal"/>
      <w:start w:val="2"/>
    </w:lvl>
    <w:lvl w:ilvl="1">
      <w:lvlJc w:val="left"/>
      <w:lvlText w:val="%2"/>
      <w:numFmt w:val="lowerRoman"/>
      <w:start w:val="1"/>
    </w:lvl>
  </w:abstractNum>
  <w:abstractNum w:abstractNumId="89">
    <w:nsid w:val="7D5E18F8"/>
    <w:multiLevelType w:val="hybridMultilevel"/>
    <w:lvl w:ilvl="0">
      <w:lvlJc w:val="left"/>
      <w:lvlText w:val="(%1)"/>
      <w:numFmt w:val="lowerLetter"/>
      <w:start w:val="2"/>
    </w:lvl>
  </w:abstractNum>
  <w:abstractNum w:abstractNumId="90">
    <w:nsid w:val="5F3534A4"/>
    <w:multiLevelType w:val="hybridMultilevel"/>
    <w:lvl w:ilvl="0">
      <w:lvlJc w:val="left"/>
      <w:lvlText w:val="(%1)"/>
      <w:numFmt w:val="decimal"/>
      <w:start w:val="3"/>
    </w:lvl>
  </w:abstractNum>
  <w:abstractNum w:abstractNumId="91">
    <w:nsid w:val="73A1821B"/>
    <w:multiLevelType w:val="hybridMultilevel"/>
    <w:lvl w:ilvl="0">
      <w:lvlJc w:val="left"/>
      <w:lvlText w:val="%1."/>
      <w:numFmt w:val="decimal"/>
      <w:start w:val="141"/>
    </w:lvl>
    <w:lvl w:ilvl="1">
      <w:lvlJc w:val="left"/>
      <w:lvlText w:val="(%2)"/>
      <w:numFmt w:val="decimal"/>
      <w:start w:val="2"/>
    </w:lvl>
  </w:abstractNum>
  <w:abstractNum w:abstractNumId="92">
    <w:nsid w:val="7DE67713"/>
    <w:multiLevelType w:val="hybridMultilevel"/>
    <w:lvl w:ilvl="0">
      <w:lvlJc w:val="left"/>
      <w:lvlText w:val="%1."/>
      <w:numFmt w:val="decimal"/>
      <w:start w:val="142"/>
    </w:lvl>
  </w:abstractNum>
  <w:abstractNum w:abstractNumId="93">
    <w:nsid w:val="555C55B5"/>
    <w:multiLevelType w:val="hybridMultilevel"/>
    <w:lvl w:ilvl="0">
      <w:lvlJc w:val="left"/>
      <w:lvlText w:val="%1."/>
      <w:numFmt w:val="decimal"/>
      <w:start w:val="144"/>
    </w:lvl>
    <w:lvl w:ilvl="1">
      <w:lvlJc w:val="left"/>
      <w:lvlText w:val="(%2)"/>
      <w:numFmt w:val="decimal"/>
      <w:start w:val="1"/>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lowerLetter"/>
      <w:start w:val="2"/>
    </w:lvl>
    <w:lvl w:ilvl="1">
      <w:lvlJc w:val="left"/>
      <w:lvlText w:val="(%2)"/>
      <w:numFmt w:val="lowerRoman"/>
      <w:start w:val="1"/>
    </w:lvl>
  </w:abstractNum>
  <w:abstractNum w:abstractNumId="96">
    <w:nsid w:val="6A3DD3E8"/>
    <w:multiLevelType w:val="hybridMultilevel"/>
    <w:lvl w:ilvl="0">
      <w:lvlJc w:val="left"/>
      <w:lvlText w:val="(%1)"/>
      <w:numFmt w:val="lowerLetter"/>
      <w:start w:val="4"/>
    </w:lvl>
  </w:abstractNum>
  <w:abstractNum w:abstractNumId="97">
    <w:nsid w:val="71C91298"/>
    <w:multiLevelType w:val="hybridMultilevel"/>
    <w:lvl w:ilvl="0">
      <w:lvlJc w:val="left"/>
      <w:lvlText w:val="(%1)"/>
      <w:numFmt w:val="decimal"/>
      <w:start w:val="2"/>
    </w:lvl>
  </w:abstractNum>
  <w:abstractNum w:abstractNumId="98">
    <w:nsid w:val="9DAF632"/>
    <w:multiLevelType w:val="hybridMultilevel"/>
    <w:lvl w:ilvl="0">
      <w:lvlJc w:val="left"/>
      <w:lvlText w:val="%1."/>
      <w:numFmt w:val="decimal"/>
      <w:start w:val="145"/>
    </w:lvl>
  </w:abstractNum>
  <w:abstractNum w:abstractNumId="99">
    <w:nsid w:val="53299938"/>
    <w:multiLevelType w:val="hybridMultilevel"/>
    <w:lvl w:ilvl="0">
      <w:lvlJc w:val="left"/>
      <w:lvlText w:val="%1."/>
      <w:numFmt w:val="decimal"/>
      <w:start w:val="151"/>
    </w:lvl>
  </w:abstractNum>
  <w:abstractNum w:abstractNumId="100">
    <w:nsid w:val="1FBFE8E0"/>
    <w:multiLevelType w:val="hybridMultilevel"/>
    <w:lvl w:ilvl="0">
      <w:lvlJc w:val="left"/>
      <w:lvlText w:val="%1."/>
      <w:numFmt w:val="decimal"/>
      <w:start w:val="156"/>
    </w:lvl>
    <w:lvl w:ilvl="1">
      <w:lvlJc w:val="left"/>
      <w:lvlText w:val="(%2)"/>
      <w:numFmt w:val="lowerLetter"/>
      <w:start w:val="1"/>
    </w:lvl>
  </w:abstractNum>
  <w:abstractNum w:abstractNumId="101">
    <w:nsid w:val="5092CA79"/>
    <w:multiLevelType w:val="hybridMultilevel"/>
    <w:lvl w:ilvl="0">
      <w:lvlJc w:val="left"/>
      <w:lvlText w:val="(%1)"/>
      <w:numFmt w:val="decimal"/>
      <w:start w:val="2"/>
    </w:lvl>
  </w:abstractNum>
  <w:abstractNum w:abstractNumId="102">
    <w:nsid w:val="1D545C4D"/>
    <w:multiLevelType w:val="hybridMultilevel"/>
    <w:lvl w:ilvl="0">
      <w:lvlJc w:val="left"/>
      <w:lvlText w:val="%1"/>
      <w:numFmt w:val="decimal"/>
      <w:start w:val="1"/>
    </w:lvl>
    <w:lvl w:ilvl="1">
      <w:lvlJc w:val="left"/>
      <w:lvlText w:val="(%2)"/>
      <w:numFmt w:val="decimal"/>
      <w:start w:val="5"/>
    </w:lvl>
  </w:abstractNum>
  <w:abstractNum w:abstractNumId="103">
    <w:nsid w:val="59ADEA3D"/>
    <w:multiLevelType w:val="hybridMultilevel"/>
    <w:lvl w:ilvl="0">
      <w:lvlJc w:val="left"/>
      <w:lvlText w:val="%1."/>
      <w:numFmt w:val="decimal"/>
      <w:start w:val="157"/>
    </w:lvl>
    <w:lvl w:ilvl="1">
      <w:lvlJc w:val="left"/>
      <w:lvlText w:val="%2"/>
      <w:numFmt w:val="decimal"/>
      <w:start w:val="1"/>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decimal"/>
      <w:start w:val="158"/>
    </w:lvl>
    <w:lvl w:ilvl="1">
      <w:lvlJc w:val="left"/>
      <w:lvlText w:val="(%2)"/>
      <w:numFmt w:val="decimal"/>
      <w:start w:val="2"/>
    </w:lvl>
  </w:abstractNum>
  <w:abstractNum w:abstractNumId="106">
    <w:nsid w:val="1D9F6E5F"/>
    <w:multiLevelType w:val="hybridMultilevel"/>
    <w:lvl w:ilvl="0">
      <w:lvlJc w:val="left"/>
      <w:lvlText w:val="%1."/>
      <w:numFmt w:val="decimal"/>
      <w:start w:val="159"/>
    </w:lvl>
  </w:abstractNum>
  <w:abstractNum w:abstractNumId="107">
    <w:nsid w:val="97E1B4E"/>
    <w:multiLevelType w:val="hybridMultilevel"/>
    <w:lvl w:ilvl="0">
      <w:lvlJc w:val="left"/>
      <w:lvlText w:val="%1."/>
      <w:numFmt w:val="decimal"/>
      <w:start w:val="160"/>
    </w:lvl>
    <w:lvl w:ilvl="1">
      <w:lvlJc w:val="left"/>
      <w:lvlText w:val="(%2)"/>
      <w:numFmt w:val="decimal"/>
      <w:start w:val="2"/>
    </w:lvl>
  </w:abstractNum>
  <w:abstractNum w:abstractNumId="108">
    <w:nsid w:val="51088277"/>
    <w:multiLevelType w:val="hybridMultilevel"/>
    <w:lvl w:ilvl="0">
      <w:lvlJc w:val="left"/>
      <w:lvlText w:val="%1."/>
      <w:numFmt w:val="decimal"/>
      <w:start w:val="162"/>
    </w:lvl>
    <w:lvl w:ilvl="1">
      <w:lvlJc w:val="left"/>
      <w:lvlText w:val="(%2)"/>
      <w:numFmt w:val="decimal"/>
      <w:start w:val="2"/>
    </w:lvl>
  </w:abstractNum>
  <w:abstractNum w:abstractNumId="109">
    <w:nsid w:val="1CA0C5FA"/>
    <w:multiLevelType w:val="hybridMultilevel"/>
    <w:lvl w:ilvl="0">
      <w:lvlJc w:val="left"/>
      <w:lvlText w:val="%1."/>
      <w:numFmt w:val="decimal"/>
      <w:start w:val="163"/>
    </w:lvl>
  </w:abstractNum>
  <w:abstractNum w:abstractNumId="110">
    <w:nsid w:val="53584BCB"/>
    <w:multiLevelType w:val="hybridMultilevel"/>
    <w:lvl w:ilvl="0">
      <w:lvlJc w:val="left"/>
      <w:lvlText w:val="%1."/>
      <w:numFmt w:val="decimal"/>
      <w:start w:val="16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2021-12-22T09:59:55Z</dcterms:created>
  <dcterms:modified xsi:type="dcterms:W3CDTF">2021-12-22T09:59:55Z</dcterms:modified>
</cp:coreProperties>
</file>