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001-39337</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Ebang International Holdings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600 East John Carpenter Freeway, Suite 110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Irving, Texas 75062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Ebang International Holdings Inc.</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April 24, 2026</w:t>
      </w:r>
      <w:r>
        <w:rPr>
          <w:sz w:val="20"/>
          <w:szCs w:val="20"/>
          <w:color w:val="auto"/>
        </w:rPr>
        <w:tab/>
      </w:r>
      <w:r>
        <w:rPr>
          <w:rFonts w:ascii="Times New Roman" w:cs="Times New Roman" w:eastAsia="Times New Roman" w:hAnsi="Times New Roman"/>
          <w:sz w:val="18"/>
          <w:szCs w:val="18"/>
          <w:color w:val="auto"/>
        </w:rPr>
        <w:t>By: /s/ Dong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Dong Hu</w:t>
      </w:r>
    </w:p>
    <w:p>
      <w:pPr>
        <w:spacing w:after="0" w:line="23"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Chairman, Chief Executive Officer and</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8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Ebang International Reports Financial Results for Fiscal Year 2025</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840" w:type="dxa"/>
            <w:vAlign w:val="bottom"/>
            <w:tcBorders>
              <w:top w:val="single" w:sz="8" w:color="0000EE"/>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c>
          <w:tcPr>
            <w:tcW w:w="52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Ebang International Reports Financial Results for Fiscal Year 2025</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IRVING, United States, April 24, 2026 (GLOBE NEWSWIRE) -- Ebang International Holdings Inc. (Nasdaq: EBON, the “Company,” “we” or “our”), today announced its financial results for the fiscal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and Financial Highlights for Fiscal Year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in the 2025 fiscal year increased by 11.4% to US$6.5 million, from US$5.9 million in the 2024 fiscal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 the 2025 fiscal year was US$0.4 million, compared to a gross profit of US$1.2 million in the 2024 fiscal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in the 2025 fiscal year was US$14.2 million, compared to US$20.9 million in the 2024 fiscal year.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Dong Hu, Chairman and Chief Executive Officer of the Company, commented, “In fiscal year 2025, despite a complex and volatile external environment, we adhered to our “progress amid stability” approach. While maintaining stable operations across existing businesses, we continuously monitored industry trends and dynamically evaluated potential development opportunities. In response to market shifts and industrial evolution, we prudently optimized resource allocation and explored advanced manufacturing sectors through technical pathway analysis, team building, and preliminary mapping of supply chain resources, creating strategic reserves for future expansion.”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Hu continued: “Looking ahead, we will take technological innovation and real-sector manufacturing as dual engines, and gradually develop a highly coordinated industrial ecosystem. In electrical power equipment, we will leverage internal resources and market conditions to pursue energy-efficient, intelligent products, capturing opportunities from the global green upgrade of power grids. In new materials, we will continue optimizing processes for high-performance soft magnetic materials, focusing on reducing material loss to improve power equipment energy efficiency. This will help convert material performance advantages into product competitiveness and strengthen long-term growth. We will continue to prudently advance these initiatives based on market conditions, business performance, and compliance requirements, while optimizing our business structure, resource allocation, and operational efficiency to create long-term shareholder value. We remain cautiously optimistic about our transition towards high-quality development.”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Fiscal Year 2025</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in the 2025 fiscal year increased by 11.4% to US$6.5 million, from US$5.9 million in the 2024 fiscal year, primarily due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combined impact of: (1) the newly acquisition of the renewable energy business in November 2024, which led to the increase of renewable energy products revenue, and (2) the renting of idle office space, which has generated rental revenue during the year and promoted revenue growth. Other than the above, all other businesses have been relatively stable.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in the 2025 fiscal year increased by 31.3% to US$6.1 million, from US$4.7 million in the 2024 fiscal year, which is primarily due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of revenue and VAT recoverable impairment of US$1.7 million, which was recognized in cost of revenue in 2025, as it is expected that VAT will not be recovered in the foreseeable future. In a market with both opportunities and risks, we constantly adjust our development strategy, allocate resources, and control costs and expenses based on changes in the market condition, in order to avoid unnecessary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 the 2025 fiscal year was US$0.4 million, compared to a gross profit of US$1.2 million in the2024 fiscal year.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in the 2025 fiscal year decreased by 18.6% to US$25.7 million, from US$31.6 million in the 2024 fiscal year, primarily due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combined impact of the decrease in selling expenses and general and administrative expenses, and increase in impairments.</w:t>
      </w:r>
    </w:p>
    <w:p>
      <w:pPr>
        <w:spacing w:after="0" w:line="155" w:lineRule="exact"/>
        <w:rPr>
          <w:sz w:val="20"/>
          <w:szCs w:val="20"/>
          <w:color w:val="auto"/>
        </w:rPr>
      </w:pPr>
    </w:p>
    <w:p>
      <w:pPr>
        <w:jc w:val="both"/>
        <w:ind w:left="660" w:hanging="328"/>
        <w:spacing w:after="0" w:line="26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expenses </w:t>
      </w:r>
      <w:r>
        <w:rPr>
          <w:rFonts w:ascii="Times New Roman" w:cs="Times New Roman" w:eastAsia="Times New Roman" w:hAnsi="Times New Roman"/>
          <w:sz w:val="18"/>
          <w:szCs w:val="18"/>
          <w:color w:val="auto"/>
        </w:rPr>
        <w:t>in the 2025 fiscal year decreased by 51.5% to US$0.5 million, from US$1.1 million in the 2024 fiscal year, mainly due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continuous decrease in sales staff salaries, which is also the result of the Company continuously adjusting its strategic policies according to changes in the market situation, while reducing costs and increasing efficiency.</w:t>
      </w:r>
    </w:p>
    <w:p>
      <w:pPr>
        <w:spacing w:after="0" w:line="170"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in the 2025 fiscal year decreased by 25.4% to US$22.7 million, from US$30.5 million in the 2024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primarily due to decreases in payroll expenses, office rental expenses, and the tightening of various expense expenditures.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Impairment of intangible assets </w:t>
      </w:r>
      <w:r>
        <w:rPr>
          <w:rFonts w:ascii="Times New Roman" w:cs="Times New Roman" w:eastAsia="Times New Roman" w:hAnsi="Times New Roman"/>
          <w:sz w:val="18"/>
          <w:szCs w:val="18"/>
          <w:color w:val="auto"/>
        </w:rPr>
        <w:t>was US$1.1 million in the 2025 fiscal year, compared to nil in the 2024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in the 2025 fiscal year was US$25.3 million, compared to loss from operations of US$30.4 million in the 2024 fiscal year.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income </w:t>
      </w:r>
      <w:r>
        <w:rPr>
          <w:rFonts w:ascii="Times New Roman" w:cs="Times New Roman" w:eastAsia="Times New Roman" w:hAnsi="Times New Roman"/>
          <w:sz w:val="18"/>
          <w:szCs w:val="18"/>
          <w:color w:val="auto"/>
        </w:rPr>
        <w:t>in the 2025 fiscal year was US$8.5 million, compared to US$11.4 million in the 2024 fiscal year. The increase was primarily due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reduction of interest rates.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Exchange (loss) gain </w:t>
      </w:r>
      <w:r>
        <w:rPr>
          <w:rFonts w:ascii="Times New Roman" w:cs="Times New Roman" w:eastAsia="Times New Roman" w:hAnsi="Times New Roman"/>
          <w:sz w:val="18"/>
          <w:szCs w:val="18"/>
          <w:color w:val="auto"/>
        </w:rPr>
        <w:t>in the 2025 fiscal year was exchange gain of US$3.1 million, compared to exchange loss of US$2.2 million in the 2024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the currency fluctuation on our foreign currency denominated assets and liabilities.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expenses </w:t>
      </w:r>
      <w:r>
        <w:rPr>
          <w:rFonts w:ascii="Times New Roman" w:cs="Times New Roman" w:eastAsia="Times New Roman" w:hAnsi="Times New Roman"/>
          <w:sz w:val="18"/>
          <w:szCs w:val="18"/>
          <w:color w:val="auto"/>
        </w:rPr>
        <w:t>in the 2025 fiscal year was US$0.5 million, compared to US$0.1 million in the 2024 fiscal year, primarily due to the classification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changes in fair value of cryptocurrency assets into this category in accordance with new accounting standards adopted in 2025.</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Government grants </w:t>
      </w:r>
      <w:r>
        <w:rPr>
          <w:rFonts w:ascii="Times New Roman" w:cs="Times New Roman" w:eastAsia="Times New Roman" w:hAnsi="Times New Roman"/>
          <w:sz w:val="18"/>
          <w:szCs w:val="18"/>
          <w:color w:val="auto"/>
        </w:rPr>
        <w:t>in the 2025 fiscal year was US$0.04 million, compared to US$0.05 million in the 2024 fiscal year, primarily due to the decrease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non-recurring rebates from local government.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taxes benefit </w:t>
      </w:r>
      <w:r>
        <w:rPr>
          <w:rFonts w:ascii="Times New Roman" w:cs="Times New Roman" w:eastAsia="Times New Roman" w:hAnsi="Times New Roman"/>
          <w:sz w:val="18"/>
          <w:szCs w:val="18"/>
          <w:color w:val="auto"/>
        </w:rPr>
        <w:t>in the 2025 fiscal year was US$0.3 million, compared to US$0.04 million in the 2024 fiscal year, primarily due to the reversal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deferred tax liability relating to the impairment of intangible assets recognized from a business acquisition that closed in November 2024 in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in the 2025 fiscal year was US$14.2 million, compared to US$20.9 million in the 2024 fiscal year.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attributable to Ebang International Holdings Inc. </w:t>
      </w:r>
      <w:r>
        <w:rPr>
          <w:rFonts w:ascii="Times New Roman" w:cs="Times New Roman" w:eastAsia="Times New Roman" w:hAnsi="Times New Roman"/>
          <w:sz w:val="18"/>
          <w:szCs w:val="18"/>
          <w:color w:val="auto"/>
        </w:rPr>
        <w:t>in the 2025 fiscal year was US$14.1 million, compared to US$20.3 million in the 2024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Basic and diluted net loss per share </w:t>
      </w:r>
      <w:r>
        <w:rPr>
          <w:rFonts w:ascii="Times New Roman" w:cs="Times New Roman" w:eastAsia="Times New Roman" w:hAnsi="Times New Roman"/>
          <w:sz w:val="18"/>
          <w:szCs w:val="18"/>
          <w:color w:val="auto"/>
        </w:rPr>
        <w:t>in the 2025 fiscal year was US$2.24, compared to basic and diluted net loss per share of US$3.22 in the 2024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were US$200.2 million as of December 31, 2025, compared to US$213.8 million as of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Ebang International Holdings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years of manufacturing experience and expertise in blockchain technology and Fintech, we have established ourselves as a key participant in these fields. Leveraging advanced technologies and cutting-edge financial services, our Fintech service platforms have been widely recognized by the market. Striving to diversify our offerings to achieve a more stable financial performance, we expanded into the renewable energy sector in Australia in November 2024, underscoring our commitment to sustainability and long-term growth. In the foreseeable future, we will continue to focus on our renewable energy business and further explore opportunities in related businesses, while proactively adapting to changes in market demand and seizing new development opportunities. Our diversified model enables us to explore synergies across our businesses, driving value for our Company and shareholders. For more information, please visit https://ir.ebang.com/.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Section 21E of the Securities Exchange Act of 1934, as amended, and as defined in the U.S. Private Securities Litigation Reform Act of 1995. These forward-looking statements include, without limitation, the Company’s development plans and business outlook, which can be identified by terminology such as “may,” “will,” “expects,” “anticipates, ” “aims,” “potential,” “future,” “intends,” “plans,” “believes,” “estimates,” “continue,” “likely to,” and other similar expressions intended to identify forward-looking statements, although not all forward-looking statements contain these identifying words. Such statements are not historical facts, and are based upon the Company’s current beliefs, plans and expectations, and the current markets and operating conditions. Forward-looking statements include, but are not limited to, statements regarding our future operating results and financial position, our business strategy and plans, expectations relating to our industry, the regulatory environment, market conditions, trends and growth, expectations relating to customer behaviors and preferences, our market position and potential market opportunities, and our objectives for future operations. Forward-looking statements involve inherent known or unknown risks, uncertainties and other factors, all of which are difficult to predict and many of which are beyond the Company’s control, which may cause the Company’s actual results, performance and achievements to differ materially from those contained in any forward-looking statement. These risks and uncertainties include our ability to successfully execute our business and growth strategy and maintain future profitability, market acceptance of our products and services, our ability to further penetrate our existing customer base and expand our customer base, our ability to develop new products and services, our ability to expand internationally, the success of any acquisitions or investments that we make, the e</w:t>
      </w:r>
      <w:r>
        <w:rPr>
          <w:rFonts w:ascii="Times New Roman" w:cs="Times New Roman" w:eastAsia="Times New Roman" w:hAnsi="Times New Roman"/>
          <w:sz w:val="18"/>
          <w:szCs w:val="18"/>
          <w:b w:val="1"/>
          <w:bCs w:val="1"/>
          <w:i w:val="1"/>
          <w:iCs w:val="1"/>
          <w:color w:val="auto"/>
        </w:rPr>
        <w:t>f</w:t>
      </w:r>
      <w:r>
        <w:rPr>
          <w:rFonts w:ascii="Times New Roman" w:cs="Times New Roman" w:eastAsia="Times New Roman" w:hAnsi="Times New Roman"/>
          <w:sz w:val="18"/>
          <w:szCs w:val="18"/>
          <w:i w:val="1"/>
          <w:iCs w:val="1"/>
          <w:color w:val="auto"/>
        </w:rPr>
        <w:t>forts of increased competition in our markets, our ability to stay in compliance with applicable laws and regulations, market conditions across the blockchain, Fintech and general markets, political and economic conditions. Further information regarding these and other risks, uncertainties or factors is included in the Company’s filings with the U.S. Securities and Exchange Commission. These forward-looking statements are made only as of the date indicated, and the Company undertakes no obligation to update or revise the information contained in any forward-looking statements as a result of new information, future events or otherwise, except as required under applicable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 and media inquiries, please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Ebang International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ir@ebang.com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EBANG INTERNATIONAL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(Stated in US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85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200,191,726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213,822,331</w:t>
            </w:r>
          </w:p>
        </w:tc>
        <w:tc>
          <w:tcPr>
            <w:tcW w:w="80" w:type="dxa"/>
            <w:vAlign w:val="bottom"/>
            <w:shd w:val="clear" w:color="auto" w:fill="CCEEFF"/>
          </w:tcPr>
          <w:p>
            <w:pPr>
              <w:spacing w:after="0"/>
              <w:rPr>
                <w:sz w:val="18"/>
                <w:szCs w:val="18"/>
                <w:color w:val="auto"/>
              </w:rPr>
            </w:pPr>
          </w:p>
        </w:tc>
      </w:tr>
      <w:tr>
        <w:trPr>
          <w:trHeight w:val="216"/>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current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31,155</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580,019</w:t>
            </w:r>
          </w:p>
        </w:tc>
        <w:tc>
          <w:tcPr>
            <w:tcW w:w="80" w:type="dxa"/>
            <w:vAlign w:val="bottom"/>
          </w:tcPr>
          <w:p>
            <w:pPr>
              <w:spacing w:after="0"/>
              <w:rPr>
                <w:sz w:val="18"/>
                <w:szCs w:val="18"/>
                <w:color w:val="auto"/>
              </w:rPr>
            </w:pPr>
          </w:p>
        </w:tc>
      </w:tr>
      <w:tr>
        <w:trPr>
          <w:trHeight w:val="216"/>
        </w:trPr>
        <w:tc>
          <w:tcPr>
            <w:tcW w:w="8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6,169,815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4,906,760</w:t>
            </w:r>
          </w:p>
        </w:tc>
        <w:tc>
          <w:tcPr>
            <w:tcW w:w="80" w:type="dxa"/>
            <w:vAlign w:val="bottom"/>
            <w:shd w:val="clear" w:color="auto" w:fill="CCEEFF"/>
          </w:tcPr>
          <w:p>
            <w:pPr>
              <w:spacing w:after="0"/>
              <w:rPr>
                <w:sz w:val="18"/>
                <w:szCs w:val="18"/>
                <w:color w:val="auto"/>
              </w:rPr>
            </w:pPr>
          </w:p>
        </w:tc>
      </w:tr>
      <w:tr>
        <w:trPr>
          <w:trHeight w:val="216"/>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1,099,081</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1,586,766</w:t>
            </w:r>
          </w:p>
        </w:tc>
        <w:tc>
          <w:tcPr>
            <w:tcW w:w="80" w:type="dxa"/>
            <w:vAlign w:val="bottom"/>
          </w:tcPr>
          <w:p>
            <w:pPr>
              <w:spacing w:after="0"/>
              <w:rPr>
                <w:sz w:val="18"/>
                <w:szCs w:val="18"/>
                <w:color w:val="auto"/>
              </w:rPr>
            </w:pPr>
          </w:p>
        </w:tc>
      </w:tr>
      <w:tr>
        <w:trPr>
          <w:trHeight w:val="216"/>
        </w:trPr>
        <w:tc>
          <w:tcPr>
            <w:tcW w:w="8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to suppliers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477,748</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70,312</w:t>
            </w:r>
          </w:p>
        </w:tc>
      </w:tr>
      <w:tr>
        <w:trPr>
          <w:trHeight w:val="216"/>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3,642,958</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597,116</w:t>
            </w:r>
          </w:p>
        </w:tc>
      </w:tr>
      <w:tr>
        <w:trPr>
          <w:trHeight w:val="216"/>
        </w:trPr>
        <w:tc>
          <w:tcPr>
            <w:tcW w:w="8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729,713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322,382</w:t>
            </w:r>
          </w:p>
        </w:tc>
        <w:tc>
          <w:tcPr>
            <w:tcW w:w="80" w:type="dxa"/>
            <w:vAlign w:val="bottom"/>
            <w:shd w:val="clear" w:color="auto" w:fill="CCEEFF"/>
          </w:tcPr>
          <w:p>
            <w:pPr>
              <w:spacing w:after="0"/>
              <w:rPr>
                <w:sz w:val="18"/>
                <w:szCs w:val="18"/>
                <w:color w:val="auto"/>
              </w:rPr>
            </w:pPr>
          </w:p>
        </w:tc>
      </w:tr>
      <w:tr>
        <w:trPr>
          <w:trHeight w:val="216"/>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VAT recoverable, current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87,505</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3,203,198</w:t>
            </w:r>
          </w:p>
        </w:tc>
        <w:tc>
          <w:tcPr>
            <w:tcW w:w="80" w:type="dxa"/>
            <w:vAlign w:val="bottom"/>
          </w:tcPr>
          <w:p>
            <w:pPr>
              <w:spacing w:after="0"/>
              <w:rPr>
                <w:sz w:val="18"/>
                <w:szCs w:val="18"/>
                <w:color w:val="auto"/>
              </w:rPr>
            </w:pPr>
          </w:p>
        </w:tc>
      </w:tr>
      <w:tr>
        <w:trPr>
          <w:trHeight w:val="198"/>
        </w:trPr>
        <w:tc>
          <w:tcPr>
            <w:tcW w:w="8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current assets, net (include $126,920 and nil due from a related party as of December 31, 2025 and 2024,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8"/>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3,758,291</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5,676,953</w:t>
            </w:r>
          </w:p>
        </w:tc>
        <w:tc>
          <w:tcPr>
            <w:tcW w:w="80" w:type="dxa"/>
            <w:vAlign w:val="bottom"/>
            <w:shd w:val="clear" w:color="auto" w:fill="CCEEFF"/>
          </w:tcPr>
          <w:p>
            <w:pPr>
              <w:spacing w:after="0"/>
              <w:rPr>
                <w:sz w:val="23"/>
                <w:szCs w:val="23"/>
                <w:color w:val="auto"/>
              </w:rPr>
            </w:pPr>
          </w:p>
        </w:tc>
      </w:tr>
      <w:tr>
        <w:trPr>
          <w:trHeight w:val="210"/>
        </w:trPr>
        <w:tc>
          <w:tcPr>
            <w:tcW w:w="85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216,187,992</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230,765,837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149"/>
        </w:trPr>
        <w:tc>
          <w:tcPr>
            <w:tcW w:w="8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29,804,484</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29,907,181</w:t>
            </w:r>
          </w:p>
        </w:tc>
      </w:tr>
      <w:tr>
        <w:trPr>
          <w:trHeight w:val="216"/>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2,196,854</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3,339,664</w:t>
            </w:r>
          </w:p>
        </w:tc>
        <w:tc>
          <w:tcPr>
            <w:tcW w:w="80" w:type="dxa"/>
            <w:vAlign w:val="bottom"/>
          </w:tcPr>
          <w:p>
            <w:pPr>
              <w:spacing w:after="0"/>
              <w:rPr>
                <w:sz w:val="18"/>
                <w:szCs w:val="18"/>
                <w:color w:val="auto"/>
              </w:rPr>
            </w:pPr>
          </w:p>
        </w:tc>
      </w:tr>
      <w:tr>
        <w:trPr>
          <w:trHeight w:val="216"/>
        </w:trPr>
        <w:tc>
          <w:tcPr>
            <w:tcW w:w="8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3,608,497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3,348,442</w:t>
            </w:r>
          </w:p>
        </w:tc>
        <w:tc>
          <w:tcPr>
            <w:tcW w:w="80" w:type="dxa"/>
            <w:vAlign w:val="bottom"/>
            <w:shd w:val="clear" w:color="auto" w:fill="CCEEFF"/>
          </w:tcPr>
          <w:p>
            <w:pPr>
              <w:spacing w:after="0"/>
              <w:rPr>
                <w:sz w:val="18"/>
                <w:szCs w:val="18"/>
                <w:color w:val="auto"/>
              </w:rPr>
            </w:pPr>
          </w:p>
        </w:tc>
      </w:tr>
      <w:tr>
        <w:trPr>
          <w:trHeight w:val="216"/>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 related party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69,486</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40,081</w:t>
            </w:r>
          </w:p>
        </w:tc>
      </w:tr>
      <w:tr>
        <w:trPr>
          <w:trHeight w:val="216"/>
        </w:trPr>
        <w:tc>
          <w:tcPr>
            <w:tcW w:w="8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796,786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602,178</w:t>
            </w:r>
          </w:p>
        </w:tc>
        <w:tc>
          <w:tcPr>
            <w:tcW w:w="80" w:type="dxa"/>
            <w:vAlign w:val="bottom"/>
            <w:shd w:val="clear" w:color="auto" w:fill="CCEEFF"/>
          </w:tcPr>
          <w:p>
            <w:pPr>
              <w:spacing w:after="0"/>
              <w:rPr>
                <w:sz w:val="18"/>
                <w:szCs w:val="18"/>
                <w:color w:val="auto"/>
              </w:rPr>
            </w:pPr>
          </w:p>
        </w:tc>
      </w:tr>
      <w:tr>
        <w:trPr>
          <w:trHeight w:val="216"/>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1,277,789</w:t>
            </w:r>
          </w:p>
        </w:tc>
        <w:tc>
          <w:tcPr>
            <w:tcW w:w="80" w:type="dxa"/>
            <w:vAlign w:val="bottom"/>
          </w:tcPr>
          <w:p>
            <w:pPr>
              <w:spacing w:after="0"/>
              <w:rPr>
                <w:sz w:val="18"/>
                <w:szCs w:val="18"/>
                <w:color w:val="auto"/>
              </w:rPr>
            </w:pPr>
          </w:p>
        </w:tc>
      </w:tr>
      <w:tr>
        <w:trPr>
          <w:trHeight w:val="216"/>
        </w:trPr>
        <w:tc>
          <w:tcPr>
            <w:tcW w:w="8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VAT recoverable, non-current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1,468,819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766,587</w:t>
            </w:r>
          </w:p>
        </w:tc>
        <w:tc>
          <w:tcPr>
            <w:tcW w:w="80" w:type="dxa"/>
            <w:vAlign w:val="bottom"/>
            <w:shd w:val="clear" w:color="auto" w:fill="CCEEFF"/>
          </w:tcPr>
          <w:p>
            <w:pPr>
              <w:spacing w:after="0"/>
              <w:rPr>
                <w:sz w:val="18"/>
                <w:szCs w:val="18"/>
                <w:color w:val="auto"/>
              </w:rPr>
            </w:pPr>
          </w:p>
        </w:tc>
      </w:tr>
      <w:tr>
        <w:trPr>
          <w:trHeight w:val="237"/>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2,635,010</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5,756,224</w:t>
            </w:r>
          </w:p>
        </w:tc>
        <w:tc>
          <w:tcPr>
            <w:tcW w:w="80" w:type="dxa"/>
            <w:vAlign w:val="bottom"/>
          </w:tcPr>
          <w:p>
            <w:pPr>
              <w:spacing w:after="0"/>
              <w:rPr>
                <w:sz w:val="20"/>
                <w:szCs w:val="20"/>
                <w:color w:val="auto"/>
              </w:rPr>
            </w:pPr>
          </w:p>
        </w:tc>
      </w:tr>
      <w:tr>
        <w:trPr>
          <w:trHeight w:val="223"/>
        </w:trPr>
        <w:tc>
          <w:tcPr>
            <w:tcW w:w="8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40,579,936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45,038,146</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148"/>
        </w:trPr>
        <w:tc>
          <w:tcPr>
            <w:tcW w:w="8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37"/>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256,767,928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275,803,983</w:t>
            </w:r>
          </w:p>
        </w:tc>
        <w:tc>
          <w:tcPr>
            <w:tcW w:w="80" w:type="dxa"/>
            <w:vAlign w:val="bottom"/>
            <w:shd w:val="clear" w:color="auto" w:fill="CCEEFF"/>
          </w:tcPr>
          <w:p>
            <w:pPr>
              <w:spacing w:after="0"/>
              <w:rPr>
                <w:sz w:val="20"/>
                <w:szCs w:val="20"/>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48"/>
        </w:trPr>
        <w:tc>
          <w:tcPr>
            <w:tcW w:w="8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436,119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286,099</w:t>
            </w:r>
          </w:p>
        </w:tc>
        <w:tc>
          <w:tcPr>
            <w:tcW w:w="80" w:type="dxa"/>
            <w:vAlign w:val="bottom"/>
            <w:shd w:val="clear" w:color="auto" w:fill="CCEEFF"/>
          </w:tcPr>
          <w:p>
            <w:pPr>
              <w:spacing w:after="0"/>
              <w:rPr>
                <w:sz w:val="18"/>
                <w:szCs w:val="18"/>
                <w:color w:val="auto"/>
              </w:rPr>
            </w:pPr>
          </w:p>
        </w:tc>
      </w:tr>
      <w:tr>
        <w:trPr>
          <w:trHeight w:val="198"/>
        </w:trPr>
        <w:tc>
          <w:tcPr>
            <w:tcW w:w="8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Accrued liabilities and other payables (include $126,920 and nil due to a related party as of December 31, 2025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2024, respectively)</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6,310,237</w:t>
            </w: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10,367,210</w:t>
            </w:r>
          </w:p>
        </w:tc>
      </w:tr>
      <w:tr>
        <w:trPr>
          <w:trHeight w:val="216"/>
        </w:trPr>
        <w:tc>
          <w:tcPr>
            <w:tcW w:w="8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1,105,514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1,114,377</w:t>
            </w:r>
          </w:p>
        </w:tc>
        <w:tc>
          <w:tcPr>
            <w:tcW w:w="80" w:type="dxa"/>
            <w:vAlign w:val="bottom"/>
            <w:shd w:val="clear" w:color="auto" w:fill="CCEEFF"/>
          </w:tcPr>
          <w:p>
            <w:pPr>
              <w:spacing w:after="0"/>
              <w:rPr>
                <w:sz w:val="18"/>
                <w:szCs w:val="18"/>
                <w:color w:val="auto"/>
              </w:rPr>
            </w:pPr>
          </w:p>
        </w:tc>
      </w:tr>
      <w:tr>
        <w:trPr>
          <w:trHeight w:val="216"/>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 related party, current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48,252</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29,961</w:t>
            </w:r>
          </w:p>
        </w:tc>
      </w:tr>
      <w:tr>
        <w:trPr>
          <w:trHeight w:val="250"/>
        </w:trPr>
        <w:tc>
          <w:tcPr>
            <w:tcW w:w="8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from customers</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14,812</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55,403</w:t>
            </w:r>
          </w:p>
        </w:tc>
      </w:tr>
      <w:tr>
        <w:trPr>
          <w:trHeight w:val="210"/>
        </w:trPr>
        <w:tc>
          <w:tcPr>
            <w:tcW w:w="85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7,914,934</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11,853,050</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148"/>
        </w:trPr>
        <w:tc>
          <w:tcPr>
            <w:tcW w:w="8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3,430,152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2,877,122</w:t>
            </w:r>
          </w:p>
        </w:tc>
        <w:tc>
          <w:tcPr>
            <w:tcW w:w="80" w:type="dxa"/>
            <w:vAlign w:val="bottom"/>
            <w:shd w:val="clear" w:color="auto" w:fill="CCEEFF"/>
          </w:tcPr>
          <w:p>
            <w:pPr>
              <w:spacing w:after="0"/>
              <w:rPr>
                <w:sz w:val="18"/>
                <w:szCs w:val="18"/>
                <w:color w:val="auto"/>
              </w:rPr>
            </w:pPr>
          </w:p>
        </w:tc>
      </w:tr>
      <w:tr>
        <w:trPr>
          <w:trHeight w:val="216"/>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 related party, non-current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21,234</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10,120</w:t>
            </w:r>
          </w:p>
        </w:tc>
      </w:tr>
      <w:tr>
        <w:trPr>
          <w:trHeight w:val="216"/>
        </w:trPr>
        <w:tc>
          <w:tcPr>
            <w:tcW w:w="8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357,403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376,841</w:t>
            </w:r>
          </w:p>
        </w:tc>
        <w:tc>
          <w:tcPr>
            <w:tcW w:w="80" w:type="dxa"/>
            <w:vAlign w:val="bottom"/>
            <w:shd w:val="clear" w:color="auto" w:fill="CCEEFF"/>
          </w:tcPr>
          <w:p>
            <w:pPr>
              <w:spacing w:after="0"/>
              <w:rPr>
                <w:sz w:val="18"/>
                <w:szCs w:val="18"/>
                <w:color w:val="auto"/>
              </w:rPr>
            </w:pPr>
          </w:p>
        </w:tc>
      </w:tr>
      <w:tr>
        <w:trPr>
          <w:trHeight w:val="237"/>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3,379</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326,452</w:t>
            </w:r>
          </w:p>
        </w:tc>
        <w:tc>
          <w:tcPr>
            <w:tcW w:w="80" w:type="dxa"/>
            <w:vAlign w:val="bottom"/>
          </w:tcPr>
          <w:p>
            <w:pPr>
              <w:spacing w:after="0"/>
              <w:rPr>
                <w:sz w:val="20"/>
                <w:szCs w:val="20"/>
                <w:color w:val="auto"/>
              </w:rPr>
            </w:pPr>
          </w:p>
        </w:tc>
      </w:tr>
      <w:tr>
        <w:trPr>
          <w:trHeight w:val="223"/>
        </w:trPr>
        <w:tc>
          <w:tcPr>
            <w:tcW w:w="8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3,812,168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3,590,535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48"/>
        </w:trPr>
        <w:tc>
          <w:tcPr>
            <w:tcW w:w="8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11,727,102</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15,443,585</w:t>
            </w:r>
          </w:p>
        </w:tc>
      </w:tr>
      <w:tr>
        <w:trPr>
          <w:trHeight w:val="148"/>
        </w:trPr>
        <w:tc>
          <w:tcPr>
            <w:tcW w:w="8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1"/>
        </w:trPr>
        <w:tc>
          <w:tcPr>
            <w:tcW w:w="850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Class A ordinary share, HKD0.03 par value, 11,112,474 shares authorized, 4,989,746 shares issued, 4,726,424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71"/>
        </w:trPr>
        <w:tc>
          <w:tcPr>
            <w:tcW w:w="8500" w:type="dxa"/>
            <w:vAlign w:val="bottom"/>
          </w:tcPr>
          <w:p>
            <w:pPr>
              <w:ind w:left="340"/>
              <w:spacing w:after="0" w:line="271" w:lineRule="exact"/>
              <w:rPr>
                <w:sz w:val="20"/>
                <w:szCs w:val="20"/>
                <w:color w:val="auto"/>
              </w:rPr>
            </w:pPr>
            <w:r>
              <w:rPr>
                <w:rFonts w:ascii="Times New Roman" w:cs="Times New Roman" w:eastAsia="Times New Roman" w:hAnsi="Times New Roman"/>
                <w:sz w:val="18"/>
                <w:szCs w:val="18"/>
                <w:color w:val="auto"/>
              </w:rPr>
              <w:t>shares outstanding as of December 31, 2025 and 2024</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18,178</w:t>
            </w:r>
          </w:p>
        </w:tc>
        <w:tc>
          <w:tcPr>
            <w:tcW w:w="120" w:type="dxa"/>
            <w:vAlign w:val="bottom"/>
          </w:tcPr>
          <w:p>
            <w:pPr>
              <w:spacing w:after="0"/>
              <w:rPr>
                <w:sz w:val="23"/>
                <w:szCs w:val="23"/>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18,178</w:t>
            </w:r>
          </w:p>
        </w:tc>
      </w:tr>
      <w:tr>
        <w:trPr>
          <w:trHeight w:val="201"/>
        </w:trPr>
        <w:tc>
          <w:tcPr>
            <w:tcW w:w="8500" w:type="dxa"/>
            <w:vAlign w:val="bottom"/>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Class B ordinary share, HKD0.03 par value, 1,554,192 shares authorized, issued and outstanding as of December</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71"/>
        </w:trPr>
        <w:tc>
          <w:tcPr>
            <w:tcW w:w="8500" w:type="dxa"/>
            <w:vAlign w:val="bottom"/>
            <w:shd w:val="clear" w:color="auto" w:fill="CCEEFF"/>
          </w:tcPr>
          <w:p>
            <w:pPr>
              <w:ind w:left="340"/>
              <w:spacing w:after="0" w:line="271" w:lineRule="exact"/>
              <w:rPr>
                <w:sz w:val="20"/>
                <w:szCs w:val="20"/>
                <w:color w:val="auto"/>
              </w:rPr>
            </w:pPr>
            <w:r>
              <w:rPr>
                <w:rFonts w:ascii="Times New Roman" w:cs="Times New Roman" w:eastAsia="Times New Roman" w:hAnsi="Times New Roman"/>
                <w:sz w:val="18"/>
                <w:szCs w:val="18"/>
                <w:color w:val="auto"/>
              </w:rPr>
              <w:t>31, 2025 and 2024</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5,978</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5,978</w:t>
            </w:r>
          </w:p>
        </w:tc>
        <w:tc>
          <w:tcPr>
            <w:tcW w:w="80" w:type="dxa"/>
            <w:vAlign w:val="bottom"/>
            <w:shd w:val="clear" w:color="auto" w:fill="CCEEFF"/>
          </w:tcPr>
          <w:p>
            <w:pPr>
              <w:spacing w:after="0"/>
              <w:rPr>
                <w:sz w:val="23"/>
                <w:szCs w:val="23"/>
                <w:color w:val="auto"/>
              </w:rPr>
            </w:pPr>
          </w:p>
        </w:tc>
      </w:tr>
      <w:tr>
        <w:trPr>
          <w:trHeight w:val="216"/>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396,090,766</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396,454,715</w:t>
            </w:r>
          </w:p>
        </w:tc>
        <w:tc>
          <w:tcPr>
            <w:tcW w:w="80" w:type="dxa"/>
            <w:vAlign w:val="bottom"/>
          </w:tcPr>
          <w:p>
            <w:pPr>
              <w:spacing w:after="0"/>
              <w:rPr>
                <w:sz w:val="18"/>
                <w:szCs w:val="18"/>
                <w:color w:val="auto"/>
              </w:rPr>
            </w:pPr>
          </w:p>
        </w:tc>
      </w:tr>
      <w:tr>
        <w:trPr>
          <w:trHeight w:val="216"/>
        </w:trPr>
        <w:tc>
          <w:tcPr>
            <w:tcW w:w="8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Statutory reserves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11,079,649</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11,079,649</w:t>
            </w:r>
          </w:p>
        </w:tc>
      </w:tr>
      <w:tr>
        <w:trPr>
          <w:trHeight w:val="216"/>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(149,185,245)</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(135,091,716)</w:t>
            </w:r>
          </w:p>
        </w:tc>
      </w:tr>
      <w:tr>
        <w:trPr>
          <w:trHeight w:val="249"/>
        </w:trPr>
        <w:tc>
          <w:tcPr>
            <w:tcW w:w="8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(13,777,506)</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(12,874,020)</w:t>
            </w:r>
          </w:p>
        </w:tc>
      </w:tr>
      <w:tr>
        <w:trPr>
          <w:trHeight w:val="203"/>
        </w:trPr>
        <w:tc>
          <w:tcPr>
            <w:tcW w:w="85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Ebang International Holdings Inc. shareholders’ equity</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244,231,820</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259,592,784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149"/>
        </w:trPr>
        <w:tc>
          <w:tcPr>
            <w:tcW w:w="8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23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809,006</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767,614</w:t>
            </w:r>
          </w:p>
        </w:tc>
        <w:tc>
          <w:tcPr>
            <w:tcW w:w="80" w:type="dxa"/>
            <w:vAlign w:val="bottom"/>
          </w:tcPr>
          <w:p>
            <w:pPr>
              <w:spacing w:after="0"/>
              <w:rPr>
                <w:sz w:val="20"/>
                <w:szCs w:val="20"/>
                <w:color w:val="auto"/>
              </w:rPr>
            </w:pPr>
          </w:p>
        </w:tc>
      </w:tr>
      <w:tr>
        <w:trPr>
          <w:trHeight w:val="148"/>
        </w:trPr>
        <w:tc>
          <w:tcPr>
            <w:tcW w:w="85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236"/>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245,040,826</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260,360,398</w:t>
            </w:r>
          </w:p>
        </w:tc>
        <w:tc>
          <w:tcPr>
            <w:tcW w:w="80" w:type="dxa"/>
            <w:vAlign w:val="bottom"/>
          </w:tcPr>
          <w:p>
            <w:pPr>
              <w:spacing w:after="0"/>
              <w:rPr>
                <w:sz w:val="20"/>
                <w:szCs w:val="20"/>
                <w:color w:val="auto"/>
              </w:rPr>
            </w:pPr>
          </w:p>
        </w:tc>
      </w:tr>
      <w:tr>
        <w:trPr>
          <w:trHeight w:val="148"/>
        </w:trPr>
        <w:tc>
          <w:tcPr>
            <w:tcW w:w="85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237"/>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256,767,928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275,803,983</w:t>
            </w:r>
          </w:p>
        </w:tc>
        <w:tc>
          <w:tcPr>
            <w:tcW w:w="80" w:type="dxa"/>
            <w:vAlign w:val="bottom"/>
          </w:tcPr>
          <w:p>
            <w:pPr>
              <w:spacing w:after="0"/>
              <w:rPr>
                <w:sz w:val="20"/>
                <w:szCs w:val="20"/>
                <w:color w:val="auto"/>
              </w:rPr>
            </w:pPr>
          </w:p>
        </w:tc>
      </w:tr>
      <w:tr>
        <w:trPr>
          <w:trHeight w:val="20"/>
        </w:trPr>
        <w:tc>
          <w:tcPr>
            <w:tcW w:w="8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195" w:lineRule="auto"/>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December 31, 2025 and 2024, 263,322 reserved for future issuance upon the vesting of RSAs granted under the 2020 Plan were considered issued but not outstanding.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86" w:gutter="0" w:footer="0" w:header="0"/>
        </w:sectPr>
      </w:pPr>
    </w:p>
    <w:bookmarkStart w:id="6" w:name="page7"/>
    <w:bookmarkEnd w:id="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EBANG INTERNATIONAL HOLDINGS INC. CONSOLIDATED STATEMENTS OF OPERATIONS AND COMPREHENSIVE LOSS (Stated in US dollars)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For the year</w:t>
            </w:r>
          </w:p>
        </w:tc>
        <w:tc>
          <w:tcPr>
            <w:tcW w:w="132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For the year</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For the year</w:t>
            </w:r>
          </w:p>
        </w:tc>
      </w:tr>
      <w:tr>
        <w:trPr>
          <w:trHeight w:val="216"/>
        </w:trPr>
        <w:tc>
          <w:tcPr>
            <w:tcW w:w="5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11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106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5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90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782,349</w:t>
            </w:r>
          </w:p>
        </w:tc>
        <w:tc>
          <w:tcPr>
            <w:tcW w:w="100" w:type="dxa"/>
            <w:vAlign w:val="bottom"/>
            <w:shd w:val="clear" w:color="auto" w:fill="CCEEFF"/>
          </w:tcPr>
          <w:p>
            <w:pPr>
              <w:spacing w:after="0"/>
              <w:rPr>
                <w:sz w:val="18"/>
                <w:szCs w:val="18"/>
                <w:color w:val="auto"/>
              </w:rPr>
            </w:pPr>
          </w:p>
        </w:tc>
      </w:tr>
      <w:tr>
        <w:trPr>
          <w:trHeight w:val="23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5,743,940</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4,689,367</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4,072,832</w:t>
            </w:r>
          </w:p>
        </w:tc>
      </w:tr>
      <w:tr>
        <w:trPr>
          <w:trHeight w:val="216"/>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6,536,987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5,868,771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4,855,181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6,142,141</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4,679,085</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21,558,986</w:t>
            </w:r>
          </w:p>
        </w:tc>
      </w:tr>
      <w:tr>
        <w:trPr>
          <w:trHeight w:val="216"/>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1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394,846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1,189,686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(16,703,805)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536,562</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1,107,048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1,893,607</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22,733,520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30,455,530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29,041,432</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1,096,816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3,708,247</w:t>
            </w:r>
          </w:p>
        </w:tc>
      </w:tr>
      <w:tr>
        <w:trPr>
          <w:trHeight w:val="24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1,327,457</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2,299,628</w:t>
            </w:r>
          </w:p>
        </w:tc>
      </w:tr>
      <w:tr>
        <w:trPr>
          <w:trHeight w:val="203"/>
        </w:trPr>
        <w:tc>
          <w:tcPr>
            <w:tcW w:w="59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25,694,355</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31,562,578</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36,942,914</w:t>
            </w:r>
          </w:p>
        </w:tc>
        <w:tc>
          <w:tcPr>
            <w:tcW w:w="100" w:type="dxa"/>
            <w:vAlign w:val="bottom"/>
            <w:tcBorders>
              <w:top w:val="single" w:sz="8" w:color="CCEEFF"/>
            </w:tcBorders>
          </w:tcPr>
          <w:p>
            <w:pPr>
              <w:spacing w:after="0"/>
              <w:rPr>
                <w:sz w:val="17"/>
                <w:szCs w:val="17"/>
                <w:color w:val="auto"/>
              </w:rPr>
            </w:pPr>
          </w:p>
        </w:tc>
      </w:tr>
      <w:tr>
        <w:trPr>
          <w:trHeight w:val="216"/>
        </w:trPr>
        <w:tc>
          <w:tcPr>
            <w:tcW w:w="59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subsidiaries</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7,524</w:t>
            </w:r>
          </w:p>
        </w:tc>
      </w:tr>
      <w:tr>
        <w:trPr>
          <w:trHeight w:val="223"/>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(25,299,509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(30,372,892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(53,639,195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5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8,513,402</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11,371,783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11,941,453</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167,841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328,360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1,131,178</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(Loss) gain from investment</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(508,155)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382,896</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356,996</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gain on disposal of cryptocurrencies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(374,964)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744,803</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Exchange gain (loss)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3,078,562</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(2,169,880)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456,647</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39,121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52,191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62,600</w:t>
            </w:r>
          </w:p>
        </w:tc>
      </w:tr>
      <w:tr>
        <w:trPr>
          <w:trHeight w:val="23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(477,443)</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(126,208)</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(119,531)</w:t>
            </w:r>
          </w:p>
        </w:tc>
      </w:tr>
      <w:tr>
        <w:trPr>
          <w:trHeight w:val="216"/>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1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10,813,328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9,464,178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14,574,146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 benefit</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(14,486,181)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(20,908,714)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(39,065,049)</w:t>
            </w:r>
          </w:p>
        </w:tc>
      </w:tr>
      <w:tr>
        <w:trPr>
          <w:trHeight w:val="216"/>
        </w:trPr>
        <w:tc>
          <w:tcPr>
            <w:tcW w:w="5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benefit</w:t>
            </w: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(320,983)</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(42,545)</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(1,031,461)</w:t>
            </w:r>
          </w:p>
        </w:tc>
      </w:tr>
      <w:tr>
        <w:trPr>
          <w:trHeight w:val="216"/>
        </w:trPr>
        <w:tc>
          <w:tcPr>
            <w:tcW w:w="59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(14,165,198)</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(20,866,169)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(38,033,588)</w:t>
            </w:r>
          </w:p>
        </w:tc>
      </w:tr>
      <w:tr>
        <w:trPr>
          <w:trHeight w:val="210"/>
        </w:trPr>
        <w:tc>
          <w:tcPr>
            <w:tcW w:w="59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4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(71,669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(615,118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(1,261,445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Ebang International Holdings Inc.</w:t>
            </w:r>
          </w:p>
        </w:tc>
        <w:tc>
          <w:tcPr>
            <w:tcW w:w="14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(14,093,529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(20,251,051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(36,772,143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5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(14,165,198)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(20,866,169)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(38,033,588)</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(790,425)</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917,303</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(2,278,915)</w:t>
            </w:r>
          </w:p>
        </w:tc>
      </w:tr>
      <w:tr>
        <w:trPr>
          <w:trHeight w:val="216"/>
        </w:trPr>
        <w:tc>
          <w:tcPr>
            <w:tcW w:w="59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Ebang International Holdings Inc.</w:t>
      </w:r>
    </w:p>
    <w:p>
      <w:pPr>
        <w:spacing w:after="0" w:line="20" w:lineRule="exact"/>
        <w:rPr>
          <w:sz w:val="20"/>
          <w:szCs w:val="20"/>
          <w:color w:val="auto"/>
        </w:rPr>
      </w:pPr>
      <w:r>
        <w:rPr>
          <w:sz w:val="20"/>
          <w:szCs w:val="20"/>
          <w:color w:val="auto"/>
        </w:rPr>
        <w:br w:type="column"/>
      </w:r>
    </w:p>
    <w:p>
      <w:pPr>
        <w:ind w:left="260"/>
        <w:spacing w:after="0"/>
        <w:tabs>
          <w:tab w:leader="none" w:pos="1580" w:val="left"/>
          <w:tab w:leader="none" w:pos="2900" w:val="left"/>
        </w:tabs>
        <w:rPr>
          <w:sz w:val="20"/>
          <w:szCs w:val="20"/>
          <w:color w:val="auto"/>
        </w:rPr>
      </w:pPr>
      <w:r>
        <w:rPr>
          <w:rFonts w:ascii="Times New Roman" w:cs="Times New Roman" w:eastAsia="Times New Roman" w:hAnsi="Times New Roman"/>
          <w:sz w:val="18"/>
          <w:szCs w:val="18"/>
          <w:color w:val="auto"/>
        </w:rPr>
        <w:t>(14,955,623)</w:t>
      </w:r>
      <w:r>
        <w:rPr>
          <w:sz w:val="20"/>
          <w:szCs w:val="20"/>
          <w:color w:val="auto"/>
        </w:rPr>
        <w:tab/>
      </w:r>
      <w:r>
        <w:rPr>
          <w:rFonts w:ascii="Times New Roman" w:cs="Times New Roman" w:eastAsia="Times New Roman" w:hAnsi="Times New Roman"/>
          <w:sz w:val="18"/>
          <w:szCs w:val="18"/>
          <w:color w:val="auto"/>
        </w:rPr>
        <w:t>(19,948,866)</w:t>
      </w:r>
      <w:r>
        <w:rPr>
          <w:sz w:val="20"/>
          <w:szCs w:val="20"/>
          <w:color w:val="auto"/>
        </w:rPr>
        <w:tab/>
      </w:r>
      <w:r>
        <w:rPr>
          <w:rFonts w:ascii="Times New Roman" w:cs="Times New Roman" w:eastAsia="Times New Roman" w:hAnsi="Times New Roman"/>
          <w:sz w:val="18"/>
          <w:szCs w:val="18"/>
          <w:color w:val="auto"/>
        </w:rPr>
        <w:t>(40,312,503)</w:t>
      </w:r>
    </w:p>
    <w:p>
      <w:pPr>
        <w:spacing w:after="0" w:line="9" w:lineRule="exact"/>
        <w:rPr>
          <w:sz w:val="20"/>
          <w:szCs w:val="20"/>
          <w:color w:val="auto"/>
        </w:rPr>
      </w:pPr>
    </w:p>
    <w:p>
      <w:pPr>
        <w:ind w:left="640"/>
        <w:spacing w:after="0"/>
        <w:tabs>
          <w:tab w:leader="none" w:pos="1800" w:val="left"/>
          <w:tab w:leader="none" w:pos="3000" w:val="left"/>
        </w:tabs>
        <w:rPr>
          <w:sz w:val="20"/>
          <w:szCs w:val="20"/>
          <w:color w:val="auto"/>
        </w:rPr>
      </w:pPr>
      <w:r>
        <w:rPr>
          <w:rFonts w:ascii="Times New Roman" w:cs="Times New Roman" w:eastAsia="Times New Roman" w:hAnsi="Times New Roman"/>
          <w:sz w:val="18"/>
          <w:szCs w:val="18"/>
          <w:color w:val="auto"/>
        </w:rPr>
        <w:t>41,392</w:t>
      </w:r>
      <w:r>
        <w:rPr>
          <w:sz w:val="20"/>
          <w:szCs w:val="20"/>
          <w:color w:val="auto"/>
        </w:rPr>
        <w:tab/>
      </w:r>
      <w:r>
        <w:rPr>
          <w:rFonts w:ascii="Times New Roman" w:cs="Times New Roman" w:eastAsia="Times New Roman" w:hAnsi="Times New Roman"/>
          <w:sz w:val="18"/>
          <w:szCs w:val="18"/>
          <w:color w:val="auto"/>
        </w:rPr>
        <w:t>(710,883)</w:t>
      </w:r>
      <w:r>
        <w:rPr>
          <w:sz w:val="20"/>
          <w:szCs w:val="20"/>
          <w:color w:val="auto"/>
        </w:rPr>
        <w:tab/>
      </w:r>
      <w:r>
        <w:rPr>
          <w:rFonts w:ascii="Times New Roman" w:cs="Times New Roman" w:eastAsia="Times New Roman" w:hAnsi="Times New Roman"/>
          <w:sz w:val="18"/>
          <w:szCs w:val="18"/>
          <w:color w:val="auto"/>
        </w:rPr>
        <w:t>(1,377,803)</w:t>
      </w:r>
    </w:p>
    <w:p>
      <w:pPr>
        <w:spacing w:after="0" w:line="27" w:lineRule="exact"/>
        <w:rPr>
          <w:sz w:val="20"/>
          <w:szCs w:val="20"/>
          <w:color w:val="auto"/>
        </w:rPr>
      </w:pPr>
    </w:p>
    <w:p>
      <w:pPr>
        <w:spacing w:after="0"/>
        <w:tabs>
          <w:tab w:leader="none" w:pos="240" w:val="left"/>
          <w:tab w:leader="none" w:pos="1340" w:val="left"/>
          <w:tab w:leader="none" w:pos="2660" w:val="left"/>
        </w:tabs>
        <w:rPr>
          <w:sz w:val="20"/>
          <w:szCs w:val="20"/>
          <w:color w:val="auto"/>
        </w:rPr>
      </w:pPr>
      <w:r>
        <w:rPr>
          <w:rFonts w:ascii="Times New Roman" w:cs="Times New Roman" w:eastAsia="Times New Roman" w:hAnsi="Times New Roman"/>
          <w:sz w:val="18"/>
          <w:szCs w:val="18"/>
          <w:b w:val="1"/>
          <w:bCs w:val="1"/>
          <w:color w:val="auto"/>
        </w:rPr>
        <w:t>$</w:t>
        <w:tab/>
        <w:t>(14,997,015)</w:t>
        <w:tab/>
        <w:t>$  (19,237,983)</w:t>
        <w:tab/>
        <w:t>$  (38,934,700)</w:t>
      </w:r>
    </w:p>
    <w:p>
      <w:pPr>
        <w:spacing w:after="0" w:line="31" w:lineRule="exact"/>
        <w:rPr>
          <w:sz w:val="20"/>
          <w:szCs w:val="20"/>
          <w:color w:val="auto"/>
        </w:rPr>
      </w:pPr>
    </w:p>
    <w:p>
      <w:pPr>
        <w:sectPr>
          <w:pgSz w:w="11900" w:h="16838" w:orient="portrait"/>
          <w:cols w:equalWidth="0" w:num="2">
            <w:col w:w="6620" w:space="720"/>
            <w:col w:w="390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664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ordinary share attributable to Ebang International Holdings Inc.</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
        </w:trPr>
        <w:tc>
          <w:tcPr>
            <w:tcW w:w="66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w:t>
            </w: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vMerge w:val="continue"/>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6,280,616</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6,280,616</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6,275,118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4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6,280,616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6,280,616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6,275,118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2026-04-24T16:35:56Z</dcterms:created>
  <dcterms:modified xsi:type="dcterms:W3CDTF">2026-04-24T16:35:56Z</dcterms:modified>
</cp:coreProperties>
</file>