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945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Hu Dong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03/10/2026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Ebang International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EBON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17"/>
        <w:spacing w:after="0" w:line="275" w:lineRule="auto"/>
        <w:rPr>
          <w:sz w:val="20"/>
          <w:szCs w:val="20"/>
          <w:color w:val="auto"/>
        </w:rPr>
      </w:pPr>
      <w:r>
        <w:rPr>
          <w:rFonts w:ascii="Times New Roman" w:cs="Times New Roman" w:eastAsia="Times New Roman" w:hAnsi="Times New Roman"/>
          <w:sz w:val="20"/>
          <w:szCs w:val="20"/>
          <w:color w:val="0000FF"/>
        </w:rPr>
        <w:t>SUITE 3, LEVEL 10, 35 CLARENCE STREET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SYDNEY   C3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Chairman, CEO and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3,750</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Top One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5"/>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Ordinary</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1,554,192</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Top Max</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Shares</w:t>
            </w:r>
          </w:p>
        </w:tc>
        <w:tc>
          <w:tcPr>
            <w:tcW w:w="9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shares owned by Top One Limited, which is approximately 2.365% owned by Mr. Hu. Mr. Hu disclaims any beneficial ownership of the reported shares other than to the extent of any pecuniary interest he may have therein, directly or indirectly.</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Class B ordinary shares may be converted to Class A ordinary shares on a one-to-one basis at any time.</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shares owned by Top Max Limited, which is wholly owned by Vista Eternity (PTC) Limited, a trustee under the Hu Family Trust in which Mr. Hu is the settlor and the investment manager and has voting and dispositive power over the shares owned by Top Max Limited.</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Dong Hu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03/10/2026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843250" TargetMode="External"/><Relationship Id="rId11" Type="http://schemas.openxmlformats.org/officeDocument/2006/relationships/hyperlink" Target="http://www.sec.gov/cgi-bin/browse-edgar?action=getcompany&amp;CIK=00017992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2026-03-10T10:53:24Z</dcterms:created>
  <dcterms:modified xsi:type="dcterms:W3CDTF">2026-03-10T10:53:24Z</dcterms:modified>
</cp:coreProperties>
</file>