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899-6k_ebang.htm"/>
      <w:bookmarkStart w:id="1" w:name="ksea03018996k_ebang"/>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2525 Blacksburg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Grover, North Carolina 28073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2195"/>
        <w:gridCol w:w="425"/>
        <w:gridCol w:w="770"/>
        <w:gridCol w:w="3755"/>
      </w:tblGrid>
      <w:tr>
        <w:trPr/>
        <w:tc>
          <w:tcPr>
            <w:tcW w:w="2195" w:type="dxa"/>
            <w:tcBorders/>
            <w:vAlign w:val="center"/>
          </w:tcPr>
          <w:p>
            <w:pPr>
              <w:pStyle w:val="TableContents"/>
              <w:bidi w:val="0"/>
              <w:spacing w:before="0" w:after="283"/>
              <w:jc w:val="both"/>
              <w:rPr/>
            </w:pPr>
            <w:r>
              <w:rPr/>
              <w:t> </w:t>
            </w:r>
          </w:p>
        </w:tc>
        <w:tc>
          <w:tcPr>
            <w:tcW w:w="4950" w:type="dxa"/>
            <w:gridSpan w:val="3"/>
            <w:tcBorders/>
            <w:vAlign w:val="center"/>
          </w:tcPr>
          <w:p>
            <w:pPr>
              <w:pStyle w:val="TableContents"/>
              <w:bidi w:val="0"/>
              <w:spacing w:before="0" w:after="283"/>
              <w:jc w:val="both"/>
              <w:rPr/>
            </w:pPr>
            <w:r>
              <w:rPr/>
              <w:t>Ebang International Holdings Inc.</w:t>
            </w:r>
          </w:p>
        </w:tc>
      </w:tr>
      <w:tr>
        <w:trPr/>
        <w:tc>
          <w:tcPr>
            <w:tcW w:w="2195" w:type="dxa"/>
            <w:tcBorders/>
            <w:vAlign w:val="center"/>
          </w:tcPr>
          <w:p>
            <w:pPr>
              <w:pStyle w:val="TableContents"/>
              <w:bidi w:val="0"/>
              <w:spacing w:before="0" w:after="283"/>
              <w:jc w:val="both"/>
              <w:rPr/>
            </w:pPr>
            <w:r>
              <w:rPr/>
              <w:t> </w:t>
            </w:r>
          </w:p>
        </w:tc>
        <w:tc>
          <w:tcPr>
            <w:tcW w:w="4950" w:type="dxa"/>
            <w:gridSpan w:val="3"/>
            <w:tcBorders/>
            <w:vAlign w:val="center"/>
          </w:tcPr>
          <w:p>
            <w:pPr>
              <w:pStyle w:val="TableContents"/>
              <w:bidi w:val="0"/>
              <w:spacing w:before="0" w:after="283"/>
              <w:jc w:val="both"/>
              <w:rPr/>
            </w:pPr>
            <w:r>
              <w:rPr/>
              <w:t> </w:t>
            </w:r>
          </w:p>
        </w:tc>
      </w:tr>
      <w:tr>
        <w:trPr/>
        <w:tc>
          <w:tcPr>
            <w:tcW w:w="2195" w:type="dxa"/>
            <w:tcBorders/>
            <w:vAlign w:val="center"/>
          </w:tcPr>
          <w:p>
            <w:pPr>
              <w:pStyle w:val="TableContents"/>
              <w:bidi w:val="0"/>
              <w:spacing w:before="0" w:after="283"/>
              <w:jc w:val="both"/>
              <w:rPr/>
            </w:pPr>
            <w:r>
              <w:rPr/>
              <w:t>Date: August 14, 2026</w:t>
            </w:r>
          </w:p>
        </w:tc>
        <w:tc>
          <w:tcPr>
            <w:tcW w:w="425" w:type="dxa"/>
            <w:tcBorders/>
            <w:vAlign w:val="center"/>
          </w:tcPr>
          <w:p>
            <w:pPr>
              <w:pStyle w:val="TableContents"/>
              <w:bidi w:val="0"/>
              <w:spacing w:before="0" w:after="283"/>
              <w:jc w:val="both"/>
              <w:rPr/>
            </w:pPr>
            <w:r>
              <w:rPr/>
              <w:t xml:space="preserve">By: </w:t>
            </w:r>
          </w:p>
        </w:tc>
        <w:tc>
          <w:tcPr>
            <w:tcW w:w="4525" w:type="dxa"/>
            <w:gridSpan w:val="2"/>
            <w:tcBorders>
              <w:bottom w:val="single" w:sz="12" w:space="0" w:color="000000"/>
            </w:tcBorders>
            <w:tcMar>
              <w:bottom w:w="28" w:type="dxa"/>
            </w:tcMar>
            <w:vAlign w:val="center"/>
          </w:tcPr>
          <w:p>
            <w:pPr>
              <w:pStyle w:val="TableContents"/>
              <w:bidi w:val="0"/>
              <w:spacing w:before="0" w:after="283"/>
              <w:jc w:val="both"/>
              <w:rPr/>
            </w:pPr>
            <w:r>
              <w:rPr/>
              <w:t>/s/ Dong Hu</w:t>
            </w:r>
          </w:p>
        </w:tc>
      </w:tr>
      <w:tr>
        <w:trPr/>
        <w:tc>
          <w:tcPr>
            <w:tcW w:w="219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283"/>
              <w:jc w:val="both"/>
              <w:rPr/>
            </w:pPr>
            <w:r>
              <w:rPr/>
              <w:t xml:space="preserve">Name:  </w:t>
            </w:r>
          </w:p>
        </w:tc>
        <w:tc>
          <w:tcPr>
            <w:tcW w:w="3755" w:type="dxa"/>
            <w:tcBorders/>
            <w:vAlign w:val="center"/>
          </w:tcPr>
          <w:p>
            <w:pPr>
              <w:pStyle w:val="TableContents"/>
              <w:bidi w:val="0"/>
              <w:spacing w:before="0" w:after="283"/>
              <w:jc w:val="both"/>
              <w:rPr/>
            </w:pPr>
            <w:r>
              <w:rPr/>
              <w:t>Dong Hu</w:t>
            </w:r>
          </w:p>
        </w:tc>
      </w:tr>
      <w:tr>
        <w:trPr/>
        <w:tc>
          <w:tcPr>
            <w:tcW w:w="219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283"/>
              <w:jc w:val="both"/>
              <w:rPr/>
            </w:pPr>
            <w:r>
              <w:rPr/>
              <w:t>Title:</w:t>
            </w:r>
          </w:p>
        </w:tc>
        <w:tc>
          <w:tcPr>
            <w:tcW w:w="3755" w:type="dxa"/>
            <w:tcBorders/>
            <w:vAlign w:val="center"/>
          </w:tcPr>
          <w:p>
            <w:pPr>
              <w:pStyle w:val="TableContents"/>
              <w:bidi w:val="0"/>
              <w:spacing w:before="0" w:after="283"/>
              <w:jc w:val="left"/>
              <w:rPr/>
            </w:pPr>
            <w:r>
              <w:rPr/>
              <w:t>Chairman, Chief Executive Officer and</w:t>
              <w:br/>
              <w:t>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ea030189901ex99-1.htm">
              <w:r>
                <w:rPr>
                  <w:rStyle w:val="InternetLink"/>
                </w:rPr>
                <w:t>Ebang International Holdings Inc. Announces Unaudited Financial Results for the First Half of Fiscal Year 2026</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ind w:left="0" w:right="0" w:hanging="0"/>
        <w:jc w:val="right"/>
        <w:rPr>
          <w:b/>
        </w:rPr>
      </w:pPr>
      <w:bookmarkStart w:id="2" w:name="ea030189901ex99-1.htm"/>
      <w:bookmarkStart w:id="3" w:name="ksea030189901ex991"/>
      <w:bookmarkEnd w:id="2"/>
      <w:bookmarkEnd w:id="3"/>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 Announces Unaudited Financial Results for the First Half of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GROVER, North Carolina, August 14, 2026</w:t>
      </w:r>
      <w:r>
        <w:rPr>
          <w:rFonts w:ascii="Times New Roman;Times;Serif" w:hAnsi="Times New Roman;Times;Serif"/>
          <w:b w:val="false"/>
          <w:i w:val="false"/>
          <w:caps w:val="false"/>
          <w:smallCaps w:val="false"/>
          <w:sz w:val="20"/>
        </w:rPr>
        <w:t xml:space="preserve"> - Ebang International Holdings Inc. (Nasdaq: EBON) (the “Company,” “we,” “us” or “our”), today announced its unaudited financial results for the first half of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Financial Highlights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val="false"/>
          <w:i w:val="false"/>
          <w:caps w:val="false"/>
          <w:smallCaps w:val="false"/>
          <w:sz w:val="20"/>
        </w:rPr>
        <w:t xml:space="preserve"> reached approximately US$3.92 million for the first half of 2026, representing a 9.54% increase compared to approximately US$3.58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improved to approximately US$0.73 million for the first half of 2026, compared to a gross loss of approximately US$0.65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approximately US$5.54 million for the first half of 2026, compared to approximately US$4.50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first half of fiscal year 2026, amid the accelerating global energy transition and continued investment in digital infrastructure, we remained focused on advancing our diversified growth strategy and capturing new opportunities in the energy, electric power equipment, and digital infrastructure sectors. During this period, our total revenue increased year over year, and we achieved meaningful progress in our renewable energy and related businesses initiative, laying a solid foundation for further business expansion and strengthening our long-term competitiveness,” said Mr. Dong Hu, Chairman and Chief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Hu continued, “With the acceleration of global electrification, ongoing power grid upgrades, and surging demand for high-reliability power solutions—particularly from new computing infrastructure such as AI data centers—we are expanding our presence in advanced soft magnetic materials, electric power equipment, energy storage systems, and digital energy infrastructure. Leveraging our strengths in advanced manufacturing, engineering expertise, supply chain integration, and global operations, we will continue to strengthen coordination across our research and development, manufacturing, supply chain, and sales functions, foster synergies across our business segments, and enhance our competitive position in the global digital energy infrastructure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maintain a prudent yet flexible approach as we actively engage with and capitalize on the opportunities presented by the global energy transition and ongoing digital infrastructure modernization. Driven by technological innovation and supported by deeper collaboration across our value chain, we will continue to optimize our business portfolio with a focus on energy, electric power equipment, and digital infrastructure opportunities with strong growth and value-creation potential. Our goal is to build a more resilient, diversified, and sustainable business platform that delivers efficient, reliable solutions to customers worldwide and creates lasting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revenues</w:t>
      </w:r>
      <w:r>
        <w:rPr>
          <w:rFonts w:ascii="Times New Roman;Times;Serif" w:hAnsi="Times New Roman;Times;Serif"/>
          <w:b w:val="false"/>
          <w:i w:val="false"/>
          <w:caps w:val="false"/>
          <w:smallCaps w:val="false"/>
          <w:sz w:val="20"/>
        </w:rPr>
        <w:t xml:space="preserve"> for the six months ended June 30, 2026 were US$3.92 million, a 9.54% increase from US$3.58 million in the prior-year period. Product revenue increased to US$1.58 million from US$0.46 million, while service revenue decreased to US$2.35 million from US$3.12 million. The period-over-period change was primarily attributable to the Company’s increased focus on renewable energy product sales and corresponding allocation of business efforts toward such products during the period, resulting in incremental renewable energy product sales, as well as continued refinement of sales strategies in response to evolving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for the six months ended June 30, 2026 was US$3.20 million, a 24.44% decrease from US$4.23 million in the prior-year period. The decrease was primarily driven by a value-added tax (“VAT”) recoverable impairment of approximately US$1.0 million recognized in cost of revenues during the six months ended June 30, 2025, when the Company determined that recovery of the VAT receivable was not expected in the foreseeable future. No comparable impairment was recorded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for the six months ended June 30, 2026 was US$0.73 million, compared to gross loss of US$0.65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for the six months ended June 30, 2026 were US$10.95 million, compared to US$10.21 million in the prior-year period.</w:t>
      </w:r>
    </w:p>
    <w:p>
      <w:pPr>
        <w:pStyle w:val="TextBody"/>
        <w:bidi w:val="0"/>
        <w:spacing w:before="0" w:after="0"/>
        <w:ind w:left="504"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Selling expenses</w:t>
            </w:r>
            <w:r>
              <w:rPr/>
              <w:t xml:space="preserve"> for the six months ended June 30, 2026 were US$0.15 million, compared to US$0.27 million in the prior-year period. The decrease was primarily driven by the Company’s tightened expense management and adjusted sales strategies in response to changes in market conditions and customer demand, with focus shifted to the promotion of renewable energy products.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General and administrative expenses</w:t>
            </w:r>
            <w:r>
              <w:rPr/>
              <w:t xml:space="preserve"> for the six months ended June 30, 2026 were US$10.80 million, compared to US$9.94 million in the prior-year period. The increase was primarily driven by growth in expenses related to the renewable energy business and daily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from operations</w:t>
      </w:r>
      <w:r>
        <w:rPr>
          <w:rFonts w:ascii="Times New Roman;Times;Serif" w:hAnsi="Times New Roman;Times;Serif"/>
          <w:b w:val="false"/>
          <w:i w:val="false"/>
          <w:caps w:val="false"/>
          <w:smallCaps w:val="false"/>
          <w:sz w:val="20"/>
        </w:rPr>
        <w:t xml:space="preserve"> for the six months ended June 30, 2026 was US$10.22 million, compared to US$10.86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 income</w:t>
      </w:r>
      <w:r>
        <w:rPr>
          <w:rFonts w:ascii="Times New Roman;Times;Serif" w:hAnsi="Times New Roman;Times;Serif"/>
          <w:b w:val="false"/>
          <w:i w:val="false"/>
          <w:caps w:val="false"/>
          <w:smallCaps w:val="false"/>
          <w:sz w:val="20"/>
        </w:rPr>
        <w:t xml:space="preserve"> for the six months ended June 30, 2026 was US$3.33 million, compared to US$4.41 million in the prior-year period. The decrease was primarily due to lower bank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other income</w:t>
      </w:r>
      <w:r>
        <w:rPr>
          <w:rFonts w:ascii="Times New Roman;Times;Serif" w:hAnsi="Times New Roman;Times;Serif"/>
          <w:b w:val="false"/>
          <w:i w:val="false"/>
          <w:caps w:val="false"/>
          <w:smallCaps w:val="false"/>
          <w:sz w:val="20"/>
        </w:rPr>
        <w:t xml:space="preserve"> for the six months ended June 30, 2026 was US$4.68 million, compared to US$6.33 million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for the six months ended June 30, 2026 was US$5.54 million, compared to US$4.50 million in the prior-year period. The increase in net loss was primarily due to higher general and administrative expenses (an increase of approximately US$0.9 million) and lower other income of approximately US$1.7 million (including reduced interest income of approximately US$1.1 million and lower exchange gains of approximately US$1.0 million), partially offset by improved gross profit of approximately US$1.4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 attributable to Ebang International Holdings Inc.</w:t>
      </w:r>
      <w:r>
        <w:rPr>
          <w:rFonts w:ascii="Times New Roman;Times;Serif" w:hAnsi="Times New Roman;Times;Serif"/>
          <w:b w:val="false"/>
          <w:i w:val="false"/>
          <w:caps w:val="false"/>
          <w:smallCaps w:val="false"/>
          <w:sz w:val="20"/>
        </w:rPr>
        <w:t xml:space="preserve"> for the six months ended June 30, 2026 was US$2.90 million, compared to US$4.51 million in the prior-year period. The difference between consolidated net loss (US$5.54 million) and net loss attributable to Ebang International Holdings Inc. (US$2.90 million) reflects the allocation of US$2.64 million in losses to noncontrolling interests in a non-wholly owned operating subsidiary. This allocation included the noncontrolling interests’ pro-rata share of a loss recognized from the extinguishment of third-party debt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loss per share</w:t>
      </w:r>
      <w:r>
        <w:rPr>
          <w:rFonts w:ascii="Times New Roman;Times;Serif" w:hAnsi="Times New Roman;Times;Serif"/>
          <w:b w:val="false"/>
          <w:i w:val="false"/>
          <w:caps w:val="false"/>
          <w:smallCaps w:val="false"/>
          <w:sz w:val="20"/>
        </w:rPr>
        <w:t xml:space="preserve"> for the six months ended June 30, 2026 were both US$0.46, compared to US$0.72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Ebang International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 is a technology-driven company leveraging its manufacturing expertise, technological capabilities, and deep industry experience to pursue long-term growth opportunities. Building on this foundation, the Company has strategically expanded into the energy, electric power equipment, and digital infrastructure sectors, positioning itself to capitalize on the global energy transition, accelerating electrification, and digital infrastructure modernization. Since entering the Australian renewable energy market in November 2024, Ebang has continued to develop its renewable energy business while exploring adjacent opportunities in advanced soft magnetic materials, electrical power equipment, energy storage systems, and digital energy infrastructure. The Company remains focused on innovation, operational excellence, and greater coordination across the value chain to drive sustainable growth and long-term shareholder value. For more information, please visit https://ir.ebang.com/.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21E of the Securities Exchange Act of 1934, as amended, and as defined in the U.S. Private Securities Litigation Reform Act of 1995. These forward-looking statements can be identified by terminology such as “may,” “will,” “expects,” “anticipates,” “aims,” “potential,” “future,” “intends,” “plans,” “believes,” “estimates,” “continue,” “likely to,” and similar expressions, although not all forward-looking statements contain these words. Forward-looking statements in this press release include, but are not limited to, statements regarding the Company’s renewable energy strategy and expansion into related sectors, business diversification initiatives, digital energy infrastructure and advanced materials development, future operating results and financial position, market opportunities in the global energy transition, potential industrial synergies and competitive advantages, and the Company’s ability to deliver long-term value to shareholders. These statements are based on management’s current beliefs, plans, and expectations and reflect assumptions about future events, market conditions, and the Company’s ability to execute its strategy. Forward-looking statements involve known and unknown risks, uncertainties, and other factors, many of which are beyond the Company’s control and may cause actual results, performance, or achievements to differ materially from those expressed or implied. These risks and uncertainties include, without limitation: the Company’s ability to successfully execute its business diversification and renewable energy growth strategy; market acceptance of the Company’s products and services; the Company’s ability to further penetrate its existing customer base and expand to new customers; the Company’s ability to develop new products and services and expand internationally; the success of any acquisitions or investments; increased competition in the Company’s markets; the Company’s ability to remain in compliance with applicable laws and regulations; and general market conditions across the blockchain, Fintech, and broader energy sectors, including political and economic conditions. Further information regarding these and other risks is included in the Company’s filings with the U.S. Securities and Exchange Commission. These forward-looking statements are made only as of the date of this press release, and the Company undertakes no obligation to update or revise any forward-looking statement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ir@ebang.com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7654" w:type="dxa"/>
        <w:jc w:val="left"/>
        <w:tblInd w:w="0" w:type="dxa"/>
        <w:tblLayout w:type="fixed"/>
        <w:tblCellMar>
          <w:top w:w="0" w:type="dxa"/>
          <w:left w:w="0" w:type="dxa"/>
          <w:bottom w:w="0" w:type="dxa"/>
          <w:right w:w="0" w:type="dxa"/>
        </w:tblCellMar>
      </w:tblPr>
      <w:tblGrid>
        <w:gridCol w:w="4625"/>
        <w:gridCol w:w="60"/>
        <w:gridCol w:w="140"/>
        <w:gridCol w:w="1220"/>
        <w:gridCol w:w="60"/>
        <w:gridCol w:w="60"/>
        <w:gridCol w:w="145"/>
        <w:gridCol w:w="1269"/>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179,797,584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200,191,726</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31,155</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16,899,222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6,169,815</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917,483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1,099,081</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Advances to suppliers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477,748</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3,833,108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3,642,958</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459,243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729,713</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VAT recoverable,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87,505</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Other 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4,840,513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3,758,291</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206,951,616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216,187,992</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29,782,594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29,804,484</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3,240,997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2,196,854</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1,103,548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3,608,497</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Operating lease right-of-use assets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69,486</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Restricted cash,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796,786</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VAT recoverable,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1,172,177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1,468,819</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Long-term prepayments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5,336,648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2,635,010</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40,943,767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40,579,936</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247,895,383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256,767,928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b/>
              </w:rPr>
            </w:pPr>
            <w:r>
              <w:rPr>
                <w:b/>
              </w:rPr>
              <w:t>LIABILITIES AND EQUITY</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375,236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436,119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6,345,019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6,310,237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386,327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1,105,514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Operating lease liabilities - related party,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43,415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48,252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Advances from customers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40,520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14,812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7,223,141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7,914,934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772,504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3,430,152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Operating lease liabilities - related party,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21,234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non-current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368,086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357,403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3,379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1,151,484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3,812,168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8,374,625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11,727,102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Class A ordinary shares, HKD0.03 par value, 11,112,474 shares authorized, 4,989,746 shares issued and 4,726,424 shares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18,178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Class B ordinary shares, HKD0.03 par value, 1,554,192 shares authorized,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5,978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396,090,766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396,090,766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11,079,649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11,079,649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(152,089,752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(149,185,245</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(13,806,061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(13,777,506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b/>
              </w:rPr>
            </w:pPr>
            <w:r>
              <w:rPr>
                <w:b/>
              </w:rPr>
              <w:t>Total Ebang International Holdings Inc.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241,298,758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244,231,820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(1,778,000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809,006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239,520,758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245,040,826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247,895,383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256,767,928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9203" w:type="dxa"/>
        <w:jc w:val="left"/>
        <w:tblInd w:w="0" w:type="dxa"/>
        <w:tblLayout w:type="fixed"/>
        <w:tblCellMar>
          <w:top w:w="0" w:type="dxa"/>
          <w:left w:w="0" w:type="dxa"/>
          <w:bottom w:w="0" w:type="dxa"/>
          <w:right w:w="0" w:type="dxa"/>
        </w:tblCellMar>
      </w:tblPr>
      <w:tblGrid>
        <w:gridCol w:w="5870"/>
        <w:gridCol w:w="60"/>
        <w:gridCol w:w="160"/>
        <w:gridCol w:w="1344"/>
        <w:gridCol w:w="95"/>
        <w:gridCol w:w="60"/>
        <w:gridCol w:w="160"/>
        <w:gridCol w:w="1344"/>
        <w:gridCol w:w="11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six</w:t>
              <w:br/>
              <w:t xml:space="preserve">months ended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six</w:t>
              <w:br/>
              <w:t xml:space="preserve">months ended </w:t>
              <w:br/>
              <w:t>June 30,</w:t>
              <w:br/>
              <w:t>2025</w:t>
            </w:r>
          </w:p>
        </w:tc>
        <w:tc>
          <w:tcPr>
            <w:tcW w:w="11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1,578,326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459,688</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Service revenue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2,345,623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3,122,481</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3,923,949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3,582,169</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3,196,538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4,230,712</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Gross profit (loss)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727,411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(648,543</w:t>
            </w:r>
          </w:p>
        </w:tc>
        <w:tc>
          <w:tcPr>
            <w:tcW w:w="110" w:type="dxa"/>
            <w:tcBorders/>
            <w:shd w:fill="CCEEFF" w:val="clear"/>
            <w:vAlign w:val="center"/>
          </w:tcPr>
          <w:p>
            <w:pPr>
              <w:pStyle w:val="TableContents"/>
              <w:bidi w:val="0"/>
              <w:spacing w:before="0" w:after="283"/>
              <w:jc w:val="left"/>
              <w:rPr>
                <w:b/>
              </w:rPr>
            </w:pPr>
            <w:r>
              <w:rPr>
                <w:b/>
              </w:rPr>
              <w:t>)</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148,787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272,420</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bidi w:val="0"/>
              <w:spacing w:before="0" w:after="283"/>
              <w:jc w:val="right"/>
              <w:rPr/>
            </w:pPr>
            <w:r>
              <w:rPr/>
              <w:t>10,801,087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bidi w:val="0"/>
              <w:spacing w:before="0" w:after="283"/>
              <w:jc w:val="right"/>
              <w:rPr/>
            </w:pPr>
            <w:r>
              <w:rPr/>
              <w:t>9,935,934</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10,949,874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10,208,354</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b/>
              </w:rPr>
            </w:pPr>
            <w:r>
              <w:rPr>
                <w:b/>
              </w:rPr>
              <w:t>(10,222,463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b/>
              </w:rPr>
            </w:pPr>
            <w:r>
              <w:rPr>
                <w:b/>
              </w:rPr>
              <w:t>(10,856,897</w:t>
            </w:r>
          </w:p>
        </w:tc>
        <w:tc>
          <w:tcPr>
            <w:tcW w:w="110" w:type="dxa"/>
            <w:tcBorders/>
            <w:shd w:fill="FFFFFF" w:val="clear"/>
            <w:vAlign w:val="center"/>
          </w:tcPr>
          <w:p>
            <w:pPr>
              <w:pStyle w:val="TableContents"/>
              <w:bidi w:val="0"/>
              <w:spacing w:before="0" w:after="283"/>
              <w:jc w:val="left"/>
              <w:rPr>
                <w:b/>
              </w:rPr>
            </w:pPr>
            <w:r>
              <w:rPr>
                <w:b/>
              </w:rPr>
              <w:t>)</w:t>
            </w:r>
          </w:p>
        </w:tc>
      </w:tr>
      <w:tr>
        <w:trPr/>
        <w:tc>
          <w:tcPr>
            <w:tcW w:w="5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3,334,666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4,412,508</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237,922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127,717</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Gain (loss) from investment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46,670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(359,815</w:t>
            </w:r>
          </w:p>
        </w:tc>
        <w:tc>
          <w:tcPr>
            <w:tcW w:w="110" w:type="dxa"/>
            <w:tcBorders/>
            <w:shd w:fill="CCEEFF" w:val="clear"/>
            <w:vAlign w:val="center"/>
          </w:tcPr>
          <w:p>
            <w:pPr>
              <w:pStyle w:val="TableContents"/>
              <w:bidi w:val="0"/>
              <w:spacing w:before="0" w:after="283"/>
              <w:jc w:val="left"/>
              <w:rPr/>
            </w:pPr>
            <w:r>
              <w:rPr/>
              <w:t>)</w:t>
            </w:r>
          </w:p>
        </w:tc>
      </w:tr>
      <w:tr>
        <w:trPr/>
        <w:tc>
          <w:tcPr>
            <w:tcW w:w="5870" w:type="dxa"/>
            <w:tcBorders/>
            <w:shd w:fill="FFFFFF" w:val="clear"/>
            <w:vAlign w:val="center"/>
          </w:tcPr>
          <w:p>
            <w:pPr>
              <w:pStyle w:val="TableContents"/>
              <w:bidi w:val="0"/>
              <w:spacing w:before="0" w:after="283"/>
              <w:jc w:val="left"/>
              <w:rPr/>
            </w:pPr>
            <w:r>
              <w:rPr/>
              <w:t>Exchange gain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1,246,893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2,203,176</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6,886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17,439</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(194,236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(70,493</w:t>
            </w:r>
          </w:p>
        </w:tc>
        <w:tc>
          <w:tcPr>
            <w:tcW w:w="110" w:type="dxa"/>
            <w:tcBorders/>
            <w:shd w:fill="FFFFFF" w:val="clear"/>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b/>
              </w:rPr>
            </w:pPr>
            <w:r>
              <w:rPr>
                <w:b/>
              </w:rPr>
              <w:t>Total other income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4,678,801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6,330,532</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Loss before income taxes benefit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(5,543,662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(4,526,365</w:t>
            </w:r>
          </w:p>
        </w:tc>
        <w:tc>
          <w:tcPr>
            <w:tcW w:w="110" w:type="dxa"/>
            <w:tcBorders/>
            <w:shd w:fill="CCEEFF" w:val="clear"/>
            <w:vAlign w:val="center"/>
          </w:tcPr>
          <w:p>
            <w:pPr>
              <w:pStyle w:val="TableContents"/>
              <w:bidi w:val="0"/>
              <w:spacing w:before="0" w:after="283"/>
              <w:jc w:val="left"/>
              <w:rPr>
                <w:b/>
              </w:rPr>
            </w:pPr>
            <w:r>
              <w:rPr>
                <w:b/>
              </w:rPr>
              <w:t>)</w:t>
            </w:r>
          </w:p>
        </w:tc>
      </w:tr>
      <w:tr>
        <w:trPr/>
        <w:tc>
          <w:tcPr>
            <w:tcW w:w="5870" w:type="dxa"/>
            <w:tcBorders/>
            <w:shd w:fill="FFFFFF" w:val="clear"/>
            <w:vAlign w:val="center"/>
          </w:tcPr>
          <w:p>
            <w:pPr>
              <w:pStyle w:val="TableContents"/>
              <w:bidi w:val="0"/>
              <w:spacing w:before="0" w:after="283"/>
              <w:jc w:val="left"/>
              <w:rPr/>
            </w:pPr>
            <w:r>
              <w:rPr/>
              <w:t>Income taxes benefit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30,224</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(5,543,662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b/>
              </w:rPr>
            </w:pPr>
            <w:r>
              <w:rPr>
                <w:b/>
              </w:rPr>
              <w:t>(4,496,141</w:t>
            </w:r>
          </w:p>
        </w:tc>
        <w:tc>
          <w:tcPr>
            <w:tcW w:w="110" w:type="dxa"/>
            <w:tcBorders/>
            <w:shd w:fill="CCEEFF" w:val="clear"/>
            <w:vAlign w:val="center"/>
          </w:tcPr>
          <w:p>
            <w:pPr>
              <w:pStyle w:val="TableContents"/>
              <w:bidi w:val="0"/>
              <w:spacing w:before="0" w:after="283"/>
              <w:jc w:val="left"/>
              <w:rPr>
                <w:b/>
              </w:rPr>
            </w:pPr>
            <w:r>
              <w:rPr>
                <w:b/>
              </w:rPr>
              <w:t>)</w:t>
            </w:r>
          </w:p>
        </w:tc>
      </w:tr>
      <w:tr>
        <w:trPr/>
        <w:tc>
          <w:tcPr>
            <w:tcW w:w="5870" w:type="dxa"/>
            <w:tcBorders/>
            <w:shd w:fill="FFFFFF" w:val="clear"/>
            <w:vAlign w:val="center"/>
          </w:tcPr>
          <w:p>
            <w:pPr>
              <w:pStyle w:val="TableContents"/>
              <w:bidi w:val="0"/>
              <w:spacing w:before="0" w:after="283"/>
              <w:jc w:val="left"/>
              <w:rPr/>
            </w:pPr>
            <w:r>
              <w:rPr/>
              <w:t>Less: net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(2,639,155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18,735</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b/>
              </w:rPr>
            </w:pPr>
            <w:r>
              <w:rPr>
                <w:b/>
              </w:rPr>
              <w:t>Net loss attributable to Ebang International Holdings Inc.</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4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(2,904,507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4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(4,514,876</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OPERATIONS AND COMPREHENSIVE LOSS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5"/>
        <w:gridCol w:w="60"/>
        <w:gridCol w:w="165"/>
        <w:gridCol w:w="1246"/>
        <w:gridCol w:w="95"/>
        <w:gridCol w:w="60"/>
        <w:gridCol w:w="165"/>
        <w:gridCol w:w="1246"/>
        <w:gridCol w:w="113"/>
      </w:tblGrid>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six</w:t>
              <w:br/>
              <w:t>months 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six</w:t>
              <w:br/>
              <w:t>months ended</w:t>
              <w:br/>
              <w:t>June 30,</w:t>
              <w:br/>
              <w:t>2025</w:t>
            </w:r>
          </w:p>
        </w:tc>
        <w:tc>
          <w:tcPr>
            <w:tcW w:w="113"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b/>
              </w:rPr>
            </w:pPr>
            <w:r>
              <w:rPr>
                <w:b/>
              </w:rPr>
              <w:t>Comprehensive loss</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(5,543,662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(4,496,141</w:t>
            </w:r>
          </w:p>
        </w:tc>
        <w:tc>
          <w:tcPr>
            <w:tcW w:w="113"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23,594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(1,025,028</w:t>
            </w:r>
          </w:p>
        </w:tc>
        <w:tc>
          <w:tcPr>
            <w:tcW w:w="113"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b/>
              </w:rPr>
            </w:pPr>
            <w:r>
              <w:rPr>
                <w:b/>
              </w:rPr>
              <w:t>(5,520,068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b/>
              </w:rPr>
            </w:pPr>
            <w:r>
              <w:rPr>
                <w:b/>
              </w:rPr>
              <w:t>(5,521,169</w:t>
            </w:r>
          </w:p>
        </w:tc>
        <w:tc>
          <w:tcPr>
            <w:tcW w:w="113" w:type="dxa"/>
            <w:tcBorders/>
            <w:shd w:fill="FFFFFF" w:val="clear"/>
            <w:vAlign w:val="center"/>
          </w:tcPr>
          <w:p>
            <w:pPr>
              <w:pStyle w:val="TableContents"/>
              <w:bidi w:val="0"/>
              <w:spacing w:before="0" w:after="283"/>
              <w:jc w:val="left"/>
              <w:rPr>
                <w:b/>
              </w:rPr>
            </w:pPr>
            <w:r>
              <w:rPr>
                <w:b/>
              </w:rPr>
              <w:t>)</w:t>
            </w:r>
          </w:p>
        </w:tc>
      </w:tr>
      <w:tr>
        <w:trPr/>
        <w:tc>
          <w:tcPr>
            <w:tcW w:w="7055" w:type="dxa"/>
            <w:tcBorders/>
            <w:shd w:fill="CCEEFF" w:val="clear"/>
            <w:vAlign w:val="center"/>
          </w:tcPr>
          <w:p>
            <w:pPr>
              <w:pStyle w:val="TableContents"/>
              <w:bidi w:val="0"/>
              <w:spacing w:before="0" w:after="283"/>
              <w:jc w:val="left"/>
              <w:rPr/>
            </w:pPr>
            <w:r>
              <w:rPr/>
              <w:t>Less: comprehensive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(2,587,006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67,446</w:t>
            </w:r>
          </w:p>
        </w:tc>
        <w:tc>
          <w:tcPr>
            <w:tcW w:w="113"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Comprehensive loss attributable to Ebang International Holdings Inc.</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(2,933,062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(5,588,615</w:t>
            </w:r>
          </w:p>
        </w:tc>
        <w:tc>
          <w:tcPr>
            <w:tcW w:w="113" w:type="dxa"/>
            <w:tcBorders/>
            <w:shd w:fill="FFFFFF" w:val="clear"/>
            <w:vAlign w:val="center"/>
          </w:tcPr>
          <w:p>
            <w:pPr>
              <w:pStyle w:val="TableContents"/>
              <w:bidi w:val="0"/>
              <w:spacing w:before="0" w:after="283"/>
              <w:jc w:val="left"/>
              <w:rPr>
                <w:b/>
              </w:rPr>
            </w:pPr>
            <w:r>
              <w:rPr>
                <w:b/>
              </w:rPr>
              <w:t>)</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Net loss per ordinary share attributable to Ebang International Holdings Inc.</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(0.72</w:t>
            </w:r>
          </w:p>
        </w:tc>
        <w:tc>
          <w:tcPr>
            <w:tcW w:w="113"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pPr>
            <w:r>
              <w:rPr/>
              <w:t>(0.46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pPr>
            <w:r>
              <w:rPr/>
              <w:t>(0.72</w:t>
            </w:r>
          </w:p>
        </w:tc>
        <w:tc>
          <w:tcPr>
            <w:tcW w:w="113"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Weighted average ordinary shares outstanding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6,280,616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6,280,616</w:t>
            </w:r>
          </w:p>
        </w:tc>
        <w:tc>
          <w:tcPr>
            <w:tcW w:w="113"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pPr>
            <w:r>
              <w:rPr/>
              <w:t>6,280,616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FFFFFF" w:val="clear"/>
            <w:tcMar>
              <w:bottom w:w="28" w:type="dxa"/>
            </w:tcMar>
            <w:vAlign w:val="center"/>
          </w:tcPr>
          <w:p>
            <w:pPr>
              <w:pStyle w:val="TableContents"/>
              <w:bidi w:val="0"/>
              <w:spacing w:before="0" w:after="283"/>
              <w:jc w:val="right"/>
              <w:rPr/>
            </w:pPr>
            <w:r>
              <w:rPr/>
              <w:t>6,280,616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bidi w:val="0"/>
        <w:jc w:val="center"/>
        <w:rPr/>
      </w:pPr>
      <w:r>
        <w:rPr/>
        <w:t>7</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2314</Words>
  <Characters>14281</Characters>
  <CharactersWithSpaces>16928</CharactersWithSpaces>
  <Paragraphs>1065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