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August 2024</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001-39337</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Ebang International Holdings Inc.</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12 Marina View, #20-02B, Asia Square Tower 2,</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Singapore, 018961</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+86 571-8817-6197</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440"/>
        <w:spacing w:after="0" w:line="207" w:lineRule="exact"/>
        <w:tabs>
          <w:tab w:leader="none" w:pos="580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Ebang International Holdings Inc.</w:t>
      </w:r>
    </w:p>
    <w:p>
      <w:pPr>
        <w:spacing w:after="0" w:line="225" w:lineRule="exact"/>
        <w:rPr>
          <w:sz w:val="20"/>
          <w:szCs w:val="20"/>
          <w:color w:val="auto"/>
        </w:rPr>
      </w:pPr>
    </w:p>
    <w:p>
      <w:pPr>
        <w:spacing w:after="0"/>
        <w:tabs>
          <w:tab w:leader="none" w:pos="6740" w:val="left"/>
          <w:tab w:leader="none" w:pos="7200" w:val="left"/>
        </w:tabs>
        <w:rPr>
          <w:sz w:val="20"/>
          <w:szCs w:val="20"/>
          <w:color w:val="auto"/>
        </w:rPr>
      </w:pPr>
      <w:r>
        <w:rPr>
          <w:rFonts w:ascii="Times New Roman" w:cs="Times New Roman" w:eastAsia="Times New Roman" w:hAnsi="Times New Roman"/>
          <w:sz w:val="18"/>
          <w:szCs w:val="18"/>
          <w:color w:val="auto"/>
        </w:rPr>
        <w:t>Date: August 23,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Dong 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21"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Dong Hu</w:t>
      </w:r>
    </w:p>
    <w:p>
      <w:pPr>
        <w:spacing w:after="0" w:line="23"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Chairman, Chief Executive Officer and Chief</w:t>
      </w:r>
    </w:p>
    <w:p>
      <w:pPr>
        <w:spacing w:after="0" w:line="9"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Financial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gridSpan w:val="2"/>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836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10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tcBorders>
            <w:shd w:val="clear" w:color="auto" w:fill="CCEEFF"/>
          </w:tcPr>
          <w:p>
            <w:pPr>
              <w:spacing w:after="0"/>
              <w:rPr>
                <w:sz w:val="17"/>
                <w:szCs w:val="17"/>
                <w:color w:val="auto"/>
              </w:rPr>
            </w:pPr>
          </w:p>
        </w:tc>
        <w:tc>
          <w:tcPr>
            <w:tcW w:w="10100" w:type="dxa"/>
            <w:vAlign w:val="bottom"/>
            <w:tcBorders>
              <w:top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Ebang International Holdings Inc. Reports Unaudited Financial Results for the First Six Months of Fiscal Year 2024</w:t>
            </w:r>
          </w:p>
        </w:tc>
      </w:tr>
      <w:tr>
        <w:trPr>
          <w:trHeight w:val="655"/>
        </w:trPr>
        <w:tc>
          <w:tcPr>
            <w:tcW w:w="10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8360" w:type="dxa"/>
            <w:vAlign w:val="bottom"/>
            <w:tcBorders>
              <w:top w:val="single" w:sz="8" w:color="0000EE"/>
              <w:bottom w:val="single" w:sz="8" w:color="auto"/>
            </w:tcBorders>
          </w:tcPr>
          <w:p>
            <w:pPr>
              <w:jc w:val="right"/>
              <w:ind w:right="3750"/>
              <w:spacing w:after="0"/>
              <w:rPr>
                <w:sz w:val="20"/>
                <w:szCs w:val="20"/>
                <w:color w:val="auto"/>
              </w:rPr>
            </w:pPr>
            <w:r>
              <w:rPr>
                <w:rFonts w:ascii="Times New Roman" w:cs="Times New Roman" w:eastAsia="Times New Roman" w:hAnsi="Times New Roman"/>
                <w:sz w:val="18"/>
                <w:szCs w:val="18"/>
                <w:color w:val="auto"/>
              </w:rPr>
              <w:t>2</w:t>
            </w:r>
          </w:p>
        </w:tc>
        <w:tc>
          <w:tcPr>
            <w:tcW w:w="17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Ebang International Holdings Inc. Reports Unaudited Financial Results for the First Six Months of Fiscal Year 2024</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Singapore, August 23, 2024 – Ebang International Holdings Inc. (Nasdaq: EBON, the “Company,” “we” or “our”), today announced its unaudited financial results for the first six months of fiscal year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Operational and Financial Highlights for the First Six Months of Fiscal Year 2024</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Total net revenues </w:t>
      </w:r>
      <w:r>
        <w:rPr>
          <w:rFonts w:ascii="Times New Roman" w:cs="Times New Roman" w:eastAsia="Times New Roman" w:hAnsi="Times New Roman"/>
          <w:sz w:val="18"/>
          <w:szCs w:val="18"/>
          <w:color w:val="auto"/>
        </w:rPr>
        <w:t>in the first six months of 2024 were US$2.11 million, representing a 37.41% period-over-period decrease from US$3.38 million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same period of 2023.</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Gross profit </w:t>
      </w:r>
      <w:r>
        <w:rPr>
          <w:rFonts w:ascii="Times New Roman" w:cs="Times New Roman" w:eastAsia="Times New Roman" w:hAnsi="Times New Roman"/>
          <w:sz w:val="18"/>
          <w:szCs w:val="18"/>
          <w:color w:val="auto"/>
        </w:rPr>
        <w:t>in the first six months of 2024 was US$0.08 million compared to the gross profit of US$0.28 million in the same period of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Net loss </w:t>
      </w:r>
      <w:r>
        <w:rPr>
          <w:rFonts w:ascii="Times New Roman" w:cs="Times New Roman" w:eastAsia="Times New Roman" w:hAnsi="Times New Roman"/>
          <w:sz w:val="18"/>
          <w:szCs w:val="18"/>
          <w:color w:val="auto"/>
        </w:rPr>
        <w:t>in the first six months of 2024 was US$6.65 million compared to US$8.38 million in the same period of 2023.</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Dong Hu, Chairman and Chief Executive Officer of the Company, commented, “Our financial results for the first half of 2024 reflect our continuing efforts to transition our business while we expand our products and services into industries that we believe will be supported by our existing core technologies, R&amp;D expertise and manufacturing capacity. We are pleased with the progress that we have been able to make, particularly as we have faced and will continue to face challenges from macroeconomic conditions, policy changes, market fluctuations, evolving or shifting trends, and competition within the industry, that contributed to both highlights and downturns in our financial performance. We have been reflecting on our strengths and core competencies and experience in design, R&amp;D and manufacturing and determined that there was an unmet need in the renewable energy space for us to exploit, where we aim to integrate cutting-edge technology into this market, with a particular focus on advanced solar cell manufacturing.”</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Continued Mr. Hu: “We believe that this year will mark a significant turning point for us where we build on past achievements and monetize our prior efforts. The transition will begin paying off now that we have commenced our strategic entry into the renewable energy sector. Our past experiences have equipped us with invaluable expertise in R&amp;D and manufacturing, forming the core of our competitive advantage. These advanced professional skills and substantial technological reserves have become our foundation for mutual learning and collaboration across various industries. We are resolute in our belief that opportunities and challenges coexist and are committed to actively expanding new business areas and commercial models while maintaining strict control over operational costs to ensure the Company’s sustainable and stable development. We believe that through technological innovation, we can stand out and meet the ever-growing and evolving market demands for this new industry sector we’re pursuing, i.e. renewable energy production, and contribute to the betterment of our planet and future.”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Financial Results for the First Six Months of Fiscal Year 2024</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Total net revenues </w:t>
      </w:r>
      <w:r>
        <w:rPr>
          <w:rFonts w:ascii="Times New Roman" w:cs="Times New Roman" w:eastAsia="Times New Roman" w:hAnsi="Times New Roman"/>
          <w:sz w:val="18"/>
          <w:szCs w:val="18"/>
          <w:color w:val="auto"/>
        </w:rPr>
        <w:t>in the first six months of 2024 were US$2.11 million, representing a 37.41% period-over-period decrease from US$3.38 million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same period of 2023. The period-over-period decrease in total net revenues was due to changes in the market condition in the first six months of 2024, which resulted in a decrease in service revenue and product revenue in the first six months of 2024 as compared to the same period of 2023.</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Cost of revenues </w:t>
      </w:r>
      <w:r>
        <w:rPr>
          <w:rFonts w:ascii="Times New Roman" w:cs="Times New Roman" w:eastAsia="Times New Roman" w:hAnsi="Times New Roman"/>
          <w:sz w:val="18"/>
          <w:szCs w:val="18"/>
          <w:color w:val="auto"/>
        </w:rPr>
        <w:t>in the first six months of 2024 was US$2.03 million, representing a 34.32% period-over-period decrease from US$3.09 million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same period of 2023. The period-over-period decrease in cost of revenues was mainly due to the impact of a decrease in impairment cost in relation to products for the first six months of 2024, compared to the same period in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 xml:space="preserve">Gross profit </w:t>
      </w:r>
      <w:r>
        <w:rPr>
          <w:rFonts w:ascii="Times New Roman" w:cs="Times New Roman" w:eastAsia="Times New Roman" w:hAnsi="Times New Roman"/>
          <w:sz w:val="18"/>
          <w:szCs w:val="18"/>
          <w:color w:val="auto"/>
        </w:rPr>
        <w:t>in the first six months of 2024 was US$0.08 million, compared to the gross profit of US$0.28 million in the same period of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Total operating expenses </w:t>
      </w:r>
      <w:r>
        <w:rPr>
          <w:rFonts w:ascii="Times New Roman" w:cs="Times New Roman" w:eastAsia="Times New Roman" w:hAnsi="Times New Roman"/>
          <w:sz w:val="18"/>
          <w:szCs w:val="18"/>
          <w:color w:val="auto"/>
        </w:rPr>
        <w:t>in the first six months of 2024 were US$12.50 million compared to US$13.64 million in the same period of 2023.</w:t>
      </w:r>
    </w:p>
    <w:p>
      <w:pPr>
        <w:spacing w:after="0" w:line="225" w:lineRule="exact"/>
        <w:rPr>
          <w:sz w:val="20"/>
          <w:szCs w:val="20"/>
          <w:color w:val="auto"/>
        </w:rPr>
      </w:pPr>
    </w:p>
    <w:p>
      <w:pPr>
        <w:jc w:val="both"/>
        <w:ind w:left="660" w:hanging="328"/>
        <w:spacing w:after="0" w:line="268"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Selling expenses </w:t>
      </w:r>
      <w:r>
        <w:rPr>
          <w:rFonts w:ascii="Times New Roman" w:cs="Times New Roman" w:eastAsia="Times New Roman" w:hAnsi="Times New Roman"/>
          <w:sz w:val="18"/>
          <w:szCs w:val="18"/>
          <w:color w:val="auto"/>
        </w:rPr>
        <w:t>in the first six months of 2024 were US$0.66 million compared to US$0.75 million in the same period of 2023. The period-over-period decrease in selling expenses was mainly caused by decreased general advertising and marketing expenses related to our Fintech business for the first six months of 2024.</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General and administrative expenses </w:t>
      </w:r>
      <w:r>
        <w:rPr>
          <w:rFonts w:ascii="Times New Roman" w:cs="Times New Roman" w:eastAsia="Times New Roman" w:hAnsi="Times New Roman"/>
          <w:sz w:val="18"/>
          <w:szCs w:val="18"/>
          <w:color w:val="auto"/>
        </w:rPr>
        <w:t>in the first six months of 2024 were US$11.84 million compared to US$12.89 million in the same period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2023. The period-over-period decrease in general and administrative expenses was mainly due to our optimization and streamlining of business operations, including resource allocation, cost, and expense control.</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Loss from operations </w:t>
      </w:r>
      <w:r>
        <w:rPr>
          <w:rFonts w:ascii="Times New Roman" w:cs="Times New Roman" w:eastAsia="Times New Roman" w:hAnsi="Times New Roman"/>
          <w:sz w:val="18"/>
          <w:szCs w:val="18"/>
          <w:color w:val="auto"/>
        </w:rPr>
        <w:t>in the first six months of 2024 was US$12.42 million compared to US$13.35 million in the same period of 2023.</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Interest income </w:t>
      </w:r>
      <w:r>
        <w:rPr>
          <w:rFonts w:ascii="Times New Roman" w:cs="Times New Roman" w:eastAsia="Times New Roman" w:hAnsi="Times New Roman"/>
          <w:sz w:val="18"/>
          <w:szCs w:val="18"/>
          <w:color w:val="auto"/>
        </w:rPr>
        <w:t>in the first six months of 2024 was US$6.04 million compared to US$3.22 million in the same period of 2023. The period-over-period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increase in interest income was mainly caused by an increase in interest rate for US dollar deposits and the Company had more fixed-term deposit with large principals for the first six months of 2024, compared to the same period in 2023.</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Other income </w:t>
      </w:r>
      <w:r>
        <w:rPr>
          <w:rFonts w:ascii="Times New Roman" w:cs="Times New Roman" w:eastAsia="Times New Roman" w:hAnsi="Times New Roman"/>
          <w:sz w:val="18"/>
          <w:szCs w:val="18"/>
          <w:color w:val="auto"/>
        </w:rPr>
        <w:t>in the first six months of 2024 was US$0.33 million compared to US$1.04 million in the same period of 2023. The period-over-period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decrease in other income was mainly due to the Company taking possession of customer deposits collected from previous years as a result of defaults by customers under their respective contracts with the Company for the first six months of 2023, while no such event occurred in the first six months of 2024.</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Other expense </w:t>
      </w:r>
      <w:r>
        <w:rPr>
          <w:rFonts w:ascii="Times New Roman" w:cs="Times New Roman" w:eastAsia="Times New Roman" w:hAnsi="Times New Roman"/>
          <w:sz w:val="18"/>
          <w:szCs w:val="18"/>
          <w:color w:val="auto"/>
        </w:rPr>
        <w:t>in the first six months of 2024 was US$0.06 million compared to US$0.04 million in the same period of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Net loss </w:t>
      </w:r>
      <w:r>
        <w:rPr>
          <w:rFonts w:ascii="Times New Roman" w:cs="Times New Roman" w:eastAsia="Times New Roman" w:hAnsi="Times New Roman"/>
          <w:sz w:val="18"/>
          <w:szCs w:val="18"/>
          <w:color w:val="auto"/>
        </w:rPr>
        <w:t>in the first six months of 2024 was US$6.65 million compared to US$8.38 million in the same period of 2023.</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Net loss attributable to Ebang International Holdings Inc. </w:t>
      </w:r>
      <w:r>
        <w:rPr>
          <w:rFonts w:ascii="Times New Roman" w:cs="Times New Roman" w:eastAsia="Times New Roman" w:hAnsi="Times New Roman"/>
          <w:sz w:val="18"/>
          <w:szCs w:val="18"/>
          <w:color w:val="auto"/>
        </w:rPr>
        <w:t>in the first six months of 2024 was US$6.23 million compared to US$7.82 million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same period of 2023.</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Basic and diluted net loss per share </w:t>
      </w:r>
      <w:r>
        <w:rPr>
          <w:rFonts w:ascii="Times New Roman" w:cs="Times New Roman" w:eastAsia="Times New Roman" w:hAnsi="Times New Roman"/>
          <w:sz w:val="18"/>
          <w:szCs w:val="18"/>
          <w:color w:val="auto"/>
        </w:rPr>
        <w:t>in the first six months of 2024 were both US$0.99 compared to US$1.25 in the same period of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Ebang International Holdings Inc.</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Ebang International Holdings Inc. (Nasdaq: EBON) is a global blockchain technology and Fintech company with strong application-specific integrated circuit (ASIC) chip design and manufacturing capability. Leveraging its deep understanding of the Fintech industry and compliance with laws and regulations across various jurisdictions, the Company has launched professional, convenient and innovative Fintech service platforms. The Company strives to diversify its business and products to increase shareholder value and has begun to expand into the renewable energy industry. For more information, please visit https://ir.ebang.com/.</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Section 21E of the Securities Exchange Act of 1934, as amended, and as defined in the U.S. Private Securities Litigation Reform Act of 1995. These forward-looking statements include, without limitation, the Company’s development plans and business outlook, which can be identified by terminology such as “may,” “will,” “expects,” “anticipates,” “aims,” “potential,” “future,” “intends,” “plans,” “believes,” “estimates,” “continue,” “likely to,” and other similar expressions intended to identify forward-looking statements, although not all forward-looking statements contain these identifying words. Such statements are not historical facts, and are based upon the Company’s current beliefs, plans and expectations, and the current market and operating conditions. Forward-looking statements include, but are not limited to, statements regarding our future operating results and financial position, our business strategy and plans, expectations relating to our industry, the regulatory environment, market conditions, trends and growth, expectations relating to customer behaviors and preferences, our market position and potential market opportunities, and our objectives for future operations. Forward-looking statements involve inherent known or unknown risks, uncertainties and other factors, all of which are difficult to predict and many of which are beyond the Company’s control, which may cause the Company’s actual results, performance and achievements to differ materially from those contained in any forward-looking statement. These risks and uncertainties include our ability to successfully execute our business and growth strategy and maintain future profitability, market acceptance of our products and services, our ability to further penetrate our existing customer base and expand our customer base, our ability to develop new products and services, our ability to expand internationally, our ability to successfully develop in the new industry into which we expand, the success of any acquisitions or investments that we make, the efforts of increased competition in our markets, our ability to stay in compliance with applicable laws and regulations, market conditions across the blockchain, Fintech and general market, political and economic conditions. Further information regarding these and other risks, uncertainties or factors is included in the Company’s filings with the U.S. Securities and Exchange Commission. These forward-looking statements are made only as of the date indicated, and the Company undertakes no obligation to update or revise the information contained in any forward-looking statements as a result of new information, future events or otherwise, except as required under applicable law.</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investor and media inquiries, please 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Ebang International Holdings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ir@ebang.com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Ascent Investor Relations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Ms. Tina Xiao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(917) 609-0333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tina.xiao@ascent-ir.com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EBANG INTERNATIONAL HOLDINGS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(Stated in US dollars)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39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229,517,387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241,634,262</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 current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390,067</w:t>
            </w:r>
          </w:p>
        </w:tc>
        <w:tc>
          <w:tcPr>
            <w:tcW w:w="12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88,614</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investments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5,816,326</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496,122</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817,150</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946,514</w:t>
            </w:r>
          </w:p>
        </w:tc>
        <w:tc>
          <w:tcPr>
            <w:tcW w:w="80" w:type="dxa"/>
            <w:vAlign w:val="bottom"/>
          </w:tcPr>
          <w:p>
            <w:pPr>
              <w:spacing w:after="0"/>
              <w:rPr>
                <w:sz w:val="18"/>
                <w:szCs w:val="18"/>
                <w:color w:val="auto"/>
              </w:rPr>
            </w:pPr>
          </w:p>
        </w:tc>
      </w:tr>
      <w:tr>
        <w:trPr>
          <w:trHeight w:val="256"/>
        </w:trPr>
        <w:tc>
          <w:tcPr>
            <w:tcW w:w="868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 xml:space="preserve">Advances to suppliers </w:t>
            </w:r>
            <w:r>
              <w:rPr>
                <w:rFonts w:ascii="Times New Roman" w:cs="Times New Roman" w:eastAsia="Times New Roman" w:hAnsi="Times New Roman"/>
                <w:sz w:val="29"/>
                <w:szCs w:val="29"/>
                <w:color w:val="auto"/>
                <w:vertAlign w:val="superscript"/>
              </w:rPr>
              <w:t>(1)</w:t>
            </w:r>
          </w:p>
        </w:tc>
        <w:tc>
          <w:tcPr>
            <w:tcW w:w="12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335,926</w:t>
            </w:r>
          </w:p>
        </w:tc>
        <w:tc>
          <w:tcPr>
            <w:tcW w:w="1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198,617</w:t>
            </w:r>
          </w:p>
        </w:tc>
        <w:tc>
          <w:tcPr>
            <w:tcW w:w="80" w:type="dxa"/>
            <w:vAlign w:val="bottom"/>
            <w:shd w:val="clear" w:color="auto" w:fill="CCEEFF"/>
          </w:tcPr>
          <w:p>
            <w:pPr>
              <w:spacing w:after="0"/>
              <w:rPr>
                <w:sz w:val="22"/>
                <w:szCs w:val="22"/>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 net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65,201</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198,846</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Prepayments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48,643</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304,453</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Due from related parties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580,319</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assets, net</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6,012,936</w:t>
            </w: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5,691,679</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current assets</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243,583,955</w:t>
            </w:r>
          </w:p>
        </w:tc>
        <w:tc>
          <w:tcPr>
            <w:tcW w:w="2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249,559,107</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148"/>
        </w:trPr>
        <w:tc>
          <w:tcPr>
            <w:tcW w:w="8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31,181,673</w:t>
            </w: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33,151,061</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assets, net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2,172,852</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2,329,777</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5,169,194</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6,119,535</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 - related parties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16,934</w:t>
            </w:r>
          </w:p>
        </w:tc>
        <w:tc>
          <w:tcPr>
            <w:tcW w:w="12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31,197</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cash, non-current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879,338</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1,197,286</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VAT recoverables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3,963,629</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4,061,079</w:t>
            </w:r>
          </w:p>
        </w:tc>
        <w:tc>
          <w:tcPr>
            <w:tcW w:w="80" w:type="dxa"/>
            <w:vAlign w:val="bottom"/>
          </w:tcPr>
          <w:p>
            <w:pPr>
              <w:spacing w:after="0"/>
              <w:rPr>
                <w:sz w:val="18"/>
                <w:szCs w:val="18"/>
                <w:color w:val="auto"/>
              </w:rPr>
            </w:pPr>
          </w:p>
        </w:tc>
      </w:tr>
      <w:tr>
        <w:trPr>
          <w:trHeight w:val="290"/>
        </w:trPr>
        <w:tc>
          <w:tcPr>
            <w:tcW w:w="8680" w:type="dxa"/>
            <w:vAlign w:val="bottom"/>
            <w:shd w:val="clear" w:color="auto" w:fill="CCEEFF"/>
          </w:tcPr>
          <w:p>
            <w:pPr>
              <w:ind w:left="180"/>
              <w:spacing w:after="0" w:line="270" w:lineRule="exact"/>
              <w:rPr>
                <w:sz w:val="20"/>
                <w:szCs w:val="20"/>
                <w:color w:val="auto"/>
              </w:rPr>
            </w:pPr>
            <w:r>
              <w:rPr>
                <w:rFonts w:ascii="Times New Roman" w:cs="Times New Roman" w:eastAsia="Times New Roman" w:hAnsi="Times New Roman"/>
                <w:sz w:val="18"/>
                <w:szCs w:val="18"/>
                <w:color w:val="auto"/>
              </w:rPr>
              <w:t xml:space="preserve">Other assets </w:t>
            </w:r>
            <w:r>
              <w:rPr>
                <w:rFonts w:ascii="Times New Roman" w:cs="Times New Roman" w:eastAsia="Times New Roman" w:hAnsi="Times New Roman"/>
                <w:sz w:val="29"/>
                <w:szCs w:val="29"/>
                <w:color w:val="auto"/>
                <w:vertAlign w:val="superscript"/>
              </w:rPr>
              <w:t>(1)</w:t>
            </w:r>
          </w:p>
        </w:tc>
        <w:tc>
          <w:tcPr>
            <w:tcW w:w="1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1,783,969</w:t>
            </w:r>
          </w:p>
        </w:tc>
        <w:tc>
          <w:tcPr>
            <w:tcW w:w="1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1,790,606</w:t>
            </w:r>
          </w:p>
        </w:tc>
        <w:tc>
          <w:tcPr>
            <w:tcW w:w="80" w:type="dxa"/>
            <w:vAlign w:val="bottom"/>
            <w:shd w:val="clear" w:color="auto" w:fill="CCEEFF"/>
          </w:tcPr>
          <w:p>
            <w:pPr>
              <w:spacing w:after="0"/>
              <w:rPr>
                <w:sz w:val="24"/>
                <w:szCs w:val="24"/>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45,167,589</w:t>
            </w:r>
          </w:p>
        </w:tc>
        <w:tc>
          <w:tcPr>
            <w:tcW w:w="2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48,680,541</w:t>
            </w:r>
          </w:p>
        </w:tc>
        <w:tc>
          <w:tcPr>
            <w:tcW w:w="100" w:type="dxa"/>
            <w:vAlign w:val="bottom"/>
            <w:tcBorders>
              <w:top w:val="single" w:sz="8" w:color="CCEEFF"/>
              <w:bottom w:val="single" w:sz="8" w:color="CCEEFF"/>
            </w:tcBorders>
            <w:gridSpan w:val="2"/>
          </w:tcPr>
          <w:p>
            <w:pPr>
              <w:spacing w:after="0"/>
              <w:rPr>
                <w:sz w:val="18"/>
                <w:szCs w:val="18"/>
                <w:color w:val="auto"/>
              </w:rPr>
            </w:pPr>
          </w:p>
        </w:tc>
      </w:tr>
      <w:tr>
        <w:trPr>
          <w:trHeight w:val="149"/>
        </w:trPr>
        <w:tc>
          <w:tcPr>
            <w:tcW w:w="8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304"/>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288,751,544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298,239,648</w:t>
            </w:r>
          </w:p>
        </w:tc>
        <w:tc>
          <w:tcPr>
            <w:tcW w:w="80" w:type="dxa"/>
            <w:vAlign w:val="bottom"/>
          </w:tcPr>
          <w:p>
            <w:pPr>
              <w:spacing w:after="0"/>
              <w:rPr>
                <w:sz w:val="24"/>
                <w:szCs w:val="24"/>
                <w:color w:val="auto"/>
              </w:rPr>
            </w:pPr>
          </w:p>
        </w:tc>
      </w:tr>
      <w:tr>
        <w:trPr>
          <w:trHeight w:val="149"/>
        </w:trPr>
        <w:tc>
          <w:tcPr>
            <w:tcW w:w="86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150,966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292,570</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liabilities and other payables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8,887,387</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9,804,848</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1,753,734</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1,764,259</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 related parties, current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16,160</w:t>
            </w: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28,849</w:t>
            </w: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Advances from customers</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56,587</w:t>
            </w:r>
          </w:p>
        </w:tc>
        <w:tc>
          <w:tcPr>
            <w:tcW w:w="120" w:type="dxa"/>
            <w:vAlign w:val="bottom"/>
          </w:tcPr>
          <w:p>
            <w:pPr>
              <w:spacing w:after="0"/>
              <w:rPr>
                <w:sz w:val="20"/>
                <w:szCs w:val="20"/>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69,361</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10,864,834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11,959,887</w:t>
            </w:r>
          </w:p>
        </w:tc>
        <w:tc>
          <w:tcPr>
            <w:tcW w:w="100" w:type="dxa"/>
            <w:vAlign w:val="bottom"/>
            <w:tcBorders>
              <w:top w:val="single" w:sz="8" w:color="CCEEFF"/>
              <w:bottom w:val="single" w:sz="8" w:color="CCEEFF"/>
            </w:tcBorders>
            <w:gridSpan w:val="2"/>
            <w:shd w:val="clear" w:color="auto" w:fill="CCEEFF"/>
          </w:tcPr>
          <w:p>
            <w:pPr>
              <w:spacing w:after="0"/>
              <w:rPr>
                <w:sz w:val="19"/>
                <w:szCs w:val="19"/>
                <w:color w:val="auto"/>
              </w:rPr>
            </w:pPr>
          </w:p>
        </w:tc>
      </w:tr>
      <w:tr>
        <w:trPr>
          <w:trHeight w:val="149"/>
        </w:trPr>
        <w:tc>
          <w:tcPr>
            <w:tcW w:w="8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53,944</w:t>
            </w:r>
          </w:p>
        </w:tc>
        <w:tc>
          <w:tcPr>
            <w:tcW w:w="12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74,225</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3,907,017</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4,880,845</w:t>
            </w:r>
          </w:p>
        </w:tc>
        <w:tc>
          <w:tcPr>
            <w:tcW w:w="80" w:type="dxa"/>
            <w:vAlign w:val="bottom"/>
            <w:shd w:val="clear" w:color="auto" w:fill="CCEEFF"/>
          </w:tcPr>
          <w:p>
            <w:pPr>
              <w:spacing w:after="0"/>
              <w:rPr>
                <w:sz w:val="18"/>
                <w:szCs w:val="18"/>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 related parties, non-current</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774</w:t>
            </w:r>
          </w:p>
        </w:tc>
        <w:tc>
          <w:tcPr>
            <w:tcW w:w="12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2,347</w:t>
            </w:r>
          </w:p>
        </w:tc>
        <w:tc>
          <w:tcPr>
            <w:tcW w:w="80" w:type="dxa"/>
            <w:vAlign w:val="bottom"/>
          </w:tcPr>
          <w:p>
            <w:pPr>
              <w:spacing w:after="0"/>
              <w:rPr>
                <w:sz w:val="20"/>
                <w:szCs w:val="20"/>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3,961,735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4,957,417</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148"/>
        </w:trPr>
        <w:tc>
          <w:tcPr>
            <w:tcW w:w="8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14,826,569</w:t>
            </w: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16,917,304</w:t>
            </w:r>
          </w:p>
        </w:tc>
      </w:tr>
      <w:tr>
        <w:trPr>
          <w:trHeight w:val="149"/>
        </w:trPr>
        <w:tc>
          <w:tcPr>
            <w:tcW w:w="8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8"/>
        </w:trPr>
        <w:tc>
          <w:tcPr>
            <w:tcW w:w="8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Class A ordinary share, HKD0.03 par value, 11,112,474 shares authorized, 4,989,746 shares issued, and 4,726,424</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shares outstanding as of June 30, 2024 and December 31, 2023</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18,178</w:t>
            </w:r>
          </w:p>
        </w:tc>
        <w:tc>
          <w:tcPr>
            <w:tcW w:w="120" w:type="dxa"/>
            <w:vAlign w:val="bottom"/>
          </w:tcPr>
          <w:p>
            <w:pPr>
              <w:spacing w:after="0"/>
              <w:rPr>
                <w:sz w:val="20"/>
                <w:szCs w:val="20"/>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18,178</w:t>
            </w:r>
          </w:p>
        </w:tc>
      </w:tr>
      <w:tr>
        <w:trPr>
          <w:trHeight w:val="198"/>
        </w:trPr>
        <w:tc>
          <w:tcPr>
            <w:tcW w:w="86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Class B ordinary share, HKD0.03 par value, 1,554,192 shares authorized, issued and outstanding as of June 30,</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2024 and December 31, 2023</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5,978</w:t>
            </w: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5,978</w:t>
            </w:r>
          </w:p>
        </w:tc>
        <w:tc>
          <w:tcPr>
            <w:tcW w:w="80" w:type="dxa"/>
            <w:vAlign w:val="bottom"/>
            <w:shd w:val="clear" w:color="auto" w:fill="CCEEFF"/>
          </w:tcPr>
          <w:p>
            <w:pPr>
              <w:spacing w:after="0"/>
              <w:rPr>
                <w:sz w:val="20"/>
                <w:szCs w:val="20"/>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397,408,663</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397,467,795</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Statutory reserves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11,079,649</w:t>
            </w: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11,079,649</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(121,069,174)</w:t>
            </w:r>
          </w:p>
        </w:tc>
        <w:tc>
          <w:tcPr>
            <w:tcW w:w="12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(114,840,665)</w:t>
            </w: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(14,493,243)</w:t>
            </w:r>
          </w:p>
        </w:tc>
        <w:tc>
          <w:tcPr>
            <w:tcW w:w="120" w:type="dxa"/>
            <w:vAlign w:val="bottom"/>
            <w:shd w:val="clear" w:color="auto" w:fill="CCEEFF"/>
          </w:tcPr>
          <w:p>
            <w:pPr>
              <w:spacing w:after="0"/>
              <w:rPr>
                <w:sz w:val="21"/>
                <w:szCs w:val="21"/>
                <w:color w:val="auto"/>
              </w:rPr>
            </w:pP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(13,887,088)</w:t>
            </w: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Ebang International Holdings Inc. shareholders’ equity</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272,950,051</w:t>
            </w: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279,843,847</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974,924</w:t>
            </w: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1,478,497</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equity</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273,924,975</w:t>
            </w:r>
          </w:p>
        </w:tc>
        <w:tc>
          <w:tcPr>
            <w:tcW w:w="2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281,322,344</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148"/>
        </w:trPr>
        <w:tc>
          <w:tcPr>
            <w:tcW w:w="8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263"/>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288,751,544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298,239,648</w:t>
            </w:r>
          </w:p>
        </w:tc>
        <w:tc>
          <w:tcPr>
            <w:tcW w:w="80" w:type="dxa"/>
            <w:vAlign w:val="bottom"/>
          </w:tcPr>
          <w:p>
            <w:pPr>
              <w:spacing w:after="0"/>
              <w:rPr>
                <w:sz w:val="22"/>
                <w:szCs w:val="22"/>
                <w:color w:val="auto"/>
              </w:rPr>
            </w:pPr>
          </w:p>
        </w:tc>
      </w:tr>
      <w:tr>
        <w:trPr>
          <w:trHeight w:val="21"/>
        </w:trPr>
        <w:tc>
          <w:tcPr>
            <w:tcW w:w="8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17" w:lineRule="exact"/>
        <w:rPr>
          <w:sz w:val="20"/>
          <w:szCs w:val="20"/>
          <w:color w:val="auto"/>
        </w:rPr>
      </w:pPr>
    </w:p>
    <w:p>
      <w:pPr>
        <w:ind w:left="340" w:hanging="332"/>
        <w:spacing w:after="0" w:line="282"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prior year amounts have been reclassified to conform to the current period’s presentation. These reclassifications had no impact on net earnings and financial position.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204"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EBANG INTERNATIONAL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INTERIM 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(Stated in US dollars)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For the</w:t>
            </w: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six months</w:t>
            </w: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June 30,</w:t>
            </w:r>
          </w:p>
        </w:tc>
      </w:tr>
      <w:tr>
        <w:trPr>
          <w:trHeight w:val="245"/>
        </w:trPr>
        <w:tc>
          <w:tcPr>
            <w:tcW w:w="86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359,498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1,146,384</w:t>
            </w:r>
          </w:p>
        </w:tc>
      </w:tr>
      <w:tr>
        <w:trPr>
          <w:trHeight w:val="277"/>
        </w:trPr>
        <w:tc>
          <w:tcPr>
            <w:tcW w:w="868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Service revenue</w:t>
            </w:r>
            <w:r>
              <w:rPr>
                <w:rFonts w:ascii="Times New Roman" w:cs="Times New Roman" w:eastAsia="Times New Roman" w:hAnsi="Times New Roman"/>
                <w:sz w:val="29"/>
                <w:szCs w:val="29"/>
                <w:color w:val="auto"/>
                <w:vertAlign w:val="superscript"/>
              </w:rPr>
              <w:t>(1)</w:t>
            </w:r>
          </w:p>
        </w:tc>
        <w:tc>
          <w:tcPr>
            <w:tcW w:w="120" w:type="dxa"/>
            <w:vAlign w:val="bottom"/>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1,754,376</w:t>
            </w:r>
          </w:p>
        </w:tc>
        <w:tc>
          <w:tcPr>
            <w:tcW w:w="120" w:type="dxa"/>
            <w:vAlign w:val="bottom"/>
          </w:tcPr>
          <w:p>
            <w:pPr>
              <w:spacing w:after="0"/>
              <w:rPr>
                <w:sz w:val="24"/>
                <w:szCs w:val="24"/>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2,231,023</w:t>
            </w: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2,113,874</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3,377,407</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2,032,038</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3,093,730</w:t>
            </w: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81,836</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283,677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Selling expenses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657,507</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745,381</w:t>
            </w: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11,841,322</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12,891,709</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12,498,829</w:t>
            </w:r>
          </w:p>
        </w:tc>
        <w:tc>
          <w:tcPr>
            <w:tcW w:w="2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13,637,090</w:t>
            </w:r>
          </w:p>
        </w:tc>
        <w:tc>
          <w:tcPr>
            <w:tcW w:w="100" w:type="dxa"/>
            <w:vAlign w:val="bottom"/>
            <w:tcBorders>
              <w:top w:val="single" w:sz="8" w:color="CCEEFF"/>
              <w:bottom w:val="single" w:sz="8" w:color="CCEEFF"/>
            </w:tcBorders>
          </w:tcPr>
          <w:p>
            <w:pPr>
              <w:spacing w:after="0"/>
              <w:rPr>
                <w:sz w:val="18"/>
                <w:szCs w:val="18"/>
                <w:color w:val="auto"/>
              </w:rPr>
            </w:pPr>
          </w:p>
        </w:tc>
      </w:tr>
      <w:tr>
        <w:trPr>
          <w:trHeight w:val="203"/>
        </w:trPr>
        <w:tc>
          <w:tcPr>
            <w:tcW w:w="8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Gain from disposal of subsidiaries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(7,524)</w:t>
            </w:r>
          </w:p>
        </w:tc>
      </w:tr>
      <w:tr>
        <w:trPr>
          <w:trHeight w:val="203"/>
        </w:trPr>
        <w:tc>
          <w:tcPr>
            <w:tcW w:w="8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2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(12,416,993)</w:t>
            </w:r>
          </w:p>
        </w:tc>
        <w:tc>
          <w:tcPr>
            <w:tcW w:w="1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(13,345,889)</w:t>
            </w:r>
          </w:p>
        </w:tc>
      </w:tr>
      <w:tr>
        <w:trPr>
          <w:trHeight w:val="203"/>
        </w:trPr>
        <w:tc>
          <w:tcPr>
            <w:tcW w:w="86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6,035,650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3,221,667</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333,151</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1,042,669</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from investment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3,104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803,605</w:t>
            </w:r>
          </w:p>
        </w:tc>
      </w:tr>
      <w:tr>
        <w:trPr>
          <w:trHeight w:val="257"/>
        </w:trPr>
        <w:tc>
          <w:tcPr>
            <w:tcW w:w="86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Net gain (loss) on disposal of cryptocurrencies</w:t>
            </w:r>
            <w:r>
              <w:rPr>
                <w:rFonts w:ascii="Times New Roman" w:cs="Times New Roman" w:eastAsia="Times New Roman" w:hAnsi="Times New Roman"/>
                <w:sz w:val="29"/>
                <w:szCs w:val="29"/>
                <w:color w:val="auto"/>
                <w:vertAlign w:val="superscript"/>
              </w:rPr>
              <w:t>(1)</w:t>
            </w:r>
          </w:p>
        </w:tc>
        <w:tc>
          <w:tcPr>
            <w:tcW w:w="120" w:type="dxa"/>
            <w:vAlign w:val="bottom"/>
          </w:tcPr>
          <w:p>
            <w:pPr>
              <w:spacing w:after="0"/>
              <w:rPr>
                <w:sz w:val="22"/>
                <w:szCs w:val="22"/>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(64,344)</w:t>
            </w:r>
          </w:p>
        </w:tc>
        <w:tc>
          <w:tcPr>
            <w:tcW w:w="12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708,935</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loss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(520,020)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(787,895)</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Government grants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27,854</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12,800</w:t>
            </w: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(61,744)</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(43,518)</w:t>
            </w: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other income</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5,753,651</w:t>
            </w: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4,958,263</w:t>
            </w:r>
          </w:p>
        </w:tc>
        <w:tc>
          <w:tcPr>
            <w:tcW w:w="100" w:type="dxa"/>
            <w:vAlign w:val="bottom"/>
            <w:tcBorders>
              <w:top w:val="single" w:sz="8" w:color="CCEEFF"/>
            </w:tcBorders>
          </w:tcPr>
          <w:p>
            <w:pPr>
              <w:spacing w:after="0"/>
              <w:rPr>
                <w:sz w:val="17"/>
                <w:szCs w:val="17"/>
                <w:color w:val="auto"/>
              </w:rPr>
            </w:pPr>
          </w:p>
        </w:tc>
      </w:tr>
      <w:tr>
        <w:trPr>
          <w:trHeight w:val="203"/>
        </w:trPr>
        <w:tc>
          <w:tcPr>
            <w:tcW w:w="8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 benefit</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(6,663,342)</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(8,387,626)</w:t>
            </w:r>
          </w:p>
        </w:tc>
      </w:tr>
      <w:tr>
        <w:trPr>
          <w:trHeight w:val="203"/>
        </w:trPr>
        <w:tc>
          <w:tcPr>
            <w:tcW w:w="8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benefit</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17,928</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3,349</w:t>
            </w:r>
          </w:p>
        </w:tc>
      </w:tr>
      <w:tr>
        <w:trPr>
          <w:trHeight w:val="203"/>
        </w:trPr>
        <w:tc>
          <w:tcPr>
            <w:tcW w:w="86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bl>
    <w:p>
      <w:pPr>
        <w:spacing w:after="0" w:line="1" w:lineRule="exact"/>
        <w:rPr>
          <w:sz w:val="20"/>
          <w:szCs w:val="20"/>
          <w:color w:val="auto"/>
        </w:rPr>
      </w:pPr>
    </w:p>
    <w:p>
      <w:pPr>
        <w:sectPr>
          <w:pgSz w:w="11900" w:h="16838" w:orient="portrait"/>
          <w:cols w:equalWidth="0" w:num="1">
            <w:col w:w="11240"/>
          </w:cols>
          <w:pgMar w:left="320" w:top="900" w:right="339" w:bottom="137"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Net loss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 net loss attributable to non-controlling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loss attributable to Ebang International Holdings Inc.</w:t>
      </w:r>
    </w:p>
    <w:p>
      <w:pPr>
        <w:spacing w:after="0" w:line="20" w:lineRule="exact"/>
        <w:rPr>
          <w:sz w:val="20"/>
          <w:szCs w:val="20"/>
          <w:color w:val="auto"/>
        </w:rPr>
      </w:pPr>
      <w:r>
        <w:rPr>
          <w:sz w:val="20"/>
          <w:szCs w:val="20"/>
          <w:color w:val="auto"/>
        </w:rPr>
        <w:br w:type="column"/>
      </w:r>
    </w:p>
    <w:p>
      <w:pPr>
        <w:jc w:val="right"/>
        <w:ind w:right="4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(6,645,414)</w:t>
      </w:r>
      <w:r>
        <w:rPr>
          <w:sz w:val="20"/>
          <w:szCs w:val="20"/>
          <w:color w:val="auto"/>
        </w:rPr>
        <w:tab/>
      </w:r>
      <w:r>
        <w:rPr>
          <w:rFonts w:ascii="Times New Roman" w:cs="Times New Roman" w:eastAsia="Times New Roman" w:hAnsi="Times New Roman"/>
          <w:sz w:val="18"/>
          <w:szCs w:val="18"/>
          <w:b w:val="1"/>
          <w:bCs w:val="1"/>
          <w:color w:val="auto"/>
        </w:rPr>
        <w:t>(8,384,277)</w:t>
      </w:r>
    </w:p>
    <w:p>
      <w:pPr>
        <w:spacing w:after="0" w:line="23" w:lineRule="exact"/>
        <w:rPr>
          <w:sz w:val="20"/>
          <w:szCs w:val="20"/>
          <w:color w:val="auto"/>
        </w:rPr>
      </w:pPr>
    </w:p>
    <w:p>
      <w:pPr>
        <w:jc w:val="right"/>
        <w:ind w:right="40"/>
        <w:spacing w:after="0"/>
        <w:tabs>
          <w:tab w:leader="none" w:pos="700" w:val="left"/>
        </w:tabs>
        <w:rPr>
          <w:sz w:val="20"/>
          <w:szCs w:val="20"/>
          <w:color w:val="auto"/>
        </w:rPr>
      </w:pPr>
      <w:r>
        <w:rPr>
          <w:rFonts w:ascii="Times New Roman" w:cs="Times New Roman" w:eastAsia="Times New Roman" w:hAnsi="Times New Roman"/>
          <w:sz w:val="18"/>
          <w:szCs w:val="18"/>
          <w:color w:val="auto"/>
        </w:rPr>
        <w:t>(416,905)</w:t>
      </w:r>
      <w:r>
        <w:rPr>
          <w:sz w:val="20"/>
          <w:szCs w:val="20"/>
          <w:color w:val="auto"/>
        </w:rPr>
        <w:tab/>
      </w:r>
      <w:r>
        <w:rPr>
          <w:rFonts w:ascii="Times New Roman" w:cs="Times New Roman" w:eastAsia="Times New Roman" w:hAnsi="Times New Roman"/>
          <w:sz w:val="18"/>
          <w:szCs w:val="18"/>
          <w:color w:val="auto"/>
        </w:rPr>
        <w:t>(566,280)</w:t>
      </w:r>
    </w:p>
    <w:p>
      <w:pPr>
        <w:spacing w:after="0" w:line="54" w:lineRule="exact"/>
        <w:rPr>
          <w:sz w:val="20"/>
          <w:szCs w:val="20"/>
          <w:color w:val="auto"/>
        </w:rPr>
      </w:pPr>
    </w:p>
    <w:p>
      <w:pPr>
        <w:spacing w:after="0"/>
        <w:tabs>
          <w:tab w:leader="none" w:pos="320" w:val="left"/>
          <w:tab w:leader="none" w:pos="1320" w:val="left"/>
          <w:tab w:leader="none" w:pos="1660" w:val="left"/>
        </w:tabs>
        <w:rPr>
          <w:sz w:val="20"/>
          <w:szCs w:val="20"/>
          <w:color w:val="auto"/>
        </w:rPr>
      </w:pPr>
      <w:r>
        <w:rPr>
          <w:rFonts w:ascii="Times New Roman" w:cs="Times New Roman" w:eastAsia="Times New Roman" w:hAnsi="Times New Roman"/>
          <w:sz w:val="18"/>
          <w:szCs w:val="18"/>
          <w:b w:val="1"/>
          <w:bCs w:val="1"/>
          <w:color w:val="auto"/>
        </w:rPr>
        <w:t>$</w:t>
        <w:tab/>
        <w:t>(6,228,509)</w:t>
        <w:tab/>
        <w:t>$</w:t>
        <w:tab/>
        <w:t>(7,817,997)</w:t>
      </w:r>
    </w:p>
    <w:p>
      <w:pPr>
        <w:spacing w:after="0" w:line="45" w:lineRule="exact"/>
        <w:rPr>
          <w:sz w:val="20"/>
          <w:szCs w:val="20"/>
          <w:color w:val="auto"/>
        </w:rPr>
      </w:pPr>
    </w:p>
    <w:p>
      <w:pPr>
        <w:sectPr>
          <w:pgSz w:w="11900" w:h="16838" w:orient="portrait"/>
          <w:cols w:equalWidth="0" w:num="2">
            <w:col w:w="7960" w:space="720"/>
            <w:col w:w="2560"/>
          </w:cols>
          <w:pgMar w:left="320" w:top="900" w:right="339" w:bottom="137" w:gutter="0" w:footer="0" w:header="0"/>
          <w:type w:val="continuous"/>
        </w:sectPr>
      </w:pPr>
    </w:p>
    <w:tbl>
      <w:tblPr>
        <w:tblLayout w:type="fixed"/>
        <w:tblInd w:w="0" w:type="dxa"/>
        <w:tblCellMar>
          <w:top w:w="0" w:type="dxa"/>
          <w:left w:w="0" w:type="dxa"/>
          <w:bottom w:w="0" w:type="dxa"/>
          <w:right w:w="0" w:type="dxa"/>
        </w:tblCellMar>
      </w:tblPr>
      <w:tr>
        <w:trPr>
          <w:trHeight w:val="250"/>
        </w:trPr>
        <w:tc>
          <w:tcPr>
            <w:tcW w:w="868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(6,645,414)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(8,384,277)</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(692,823)</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(2,857,279)</w:t>
            </w:r>
          </w:p>
        </w:tc>
      </w:tr>
      <w:tr>
        <w:trPr>
          <w:trHeight w:val="203"/>
        </w:trPr>
        <w:tc>
          <w:tcPr>
            <w:tcW w:w="86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(7,338,237)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(11,241,556)</w:t>
            </w: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Less: comprehensive loss attributable to non-controlling interest</w:t>
            </w:r>
          </w:p>
        </w:tc>
        <w:tc>
          <w:tcPr>
            <w:tcW w:w="220" w:type="dxa"/>
            <w:vAlign w:val="bottom"/>
          </w:tcPr>
          <w:p>
            <w:pPr>
              <w:spacing w:after="0"/>
              <w:rPr>
                <w:sz w:val="20"/>
                <w:szCs w:val="20"/>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(503,573)</w:t>
            </w:r>
          </w:p>
        </w:tc>
        <w:tc>
          <w:tcPr>
            <w:tcW w:w="16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(774,138)</w:t>
            </w:r>
          </w:p>
        </w:tc>
      </w:tr>
      <w:tr>
        <w:trPr>
          <w:trHeight w:val="250"/>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loss attributable to Ebang International Holdings Inc.</w:t>
            </w: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(6,834,664</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(10,467,418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
        </w:trPr>
        <w:tc>
          <w:tcPr>
            <w:tcW w:w="8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3"/>
        </w:trPr>
        <w:tc>
          <w:tcPr>
            <w:tcW w:w="8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per ordinary share attributable to Ebang International Holdings Inc.</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304"/>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(0.99)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23"/>
        </w:trPr>
        <w:tc>
          <w:tcPr>
            <w:tcW w:w="8680" w:type="dxa"/>
            <w:vAlign w:val="bottom"/>
            <w:tcBorders>
              <w:top w:val="single" w:sz="8" w:color="CCEEFF"/>
              <w:bottom w:val="single" w:sz="8" w:color="CCEEFF"/>
            </w:tcBorders>
            <w:shd w:val="clear" w:color="auto" w:fill="CCEEFF"/>
          </w:tcPr>
          <w:p>
            <w:pPr>
              <w:ind w:left="180"/>
              <w:spacing w:after="0" w:line="194" w:lineRule="exact"/>
              <w:rPr>
                <w:sz w:val="20"/>
                <w:szCs w:val="20"/>
                <w:color w:val="auto"/>
              </w:rPr>
            </w:pPr>
            <w:r>
              <w:rPr>
                <w:rFonts w:ascii="Times New Roman" w:cs="Times New Roman" w:eastAsia="Times New Roman" w:hAnsi="Times New Roman"/>
                <w:sz w:val="18"/>
                <w:szCs w:val="18"/>
                <w:color w:val="auto"/>
              </w:rPr>
              <w:t>Diluted</w:t>
            </w: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
        </w:trPr>
        <w:tc>
          <w:tcPr>
            <w:tcW w:w="8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3"/>
        </w:trPr>
        <w:tc>
          <w:tcPr>
            <w:tcW w:w="8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ordinary shares outstanding</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304"/>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Pr>
          <w:p>
            <w:pPr>
              <w:spacing w:after="0"/>
              <w:rPr>
                <w:sz w:val="24"/>
                <w:szCs w:val="24"/>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6,280,616</w:t>
            </w:r>
          </w:p>
        </w:tc>
        <w:tc>
          <w:tcPr>
            <w:tcW w:w="160" w:type="dxa"/>
            <w:vAlign w:val="bottom"/>
          </w:tcPr>
          <w:p>
            <w:pPr>
              <w:spacing w:after="0"/>
              <w:rPr>
                <w:sz w:val="24"/>
                <w:szCs w:val="24"/>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6,269,529</w:t>
            </w:r>
          </w:p>
        </w:tc>
      </w:tr>
      <w:tr>
        <w:trPr>
          <w:trHeight w:val="223"/>
        </w:trPr>
        <w:tc>
          <w:tcPr>
            <w:tcW w:w="8680" w:type="dxa"/>
            <w:vAlign w:val="bottom"/>
            <w:tcBorders>
              <w:top w:val="single" w:sz="8" w:color="CCEEFF"/>
              <w:bottom w:val="single" w:sz="8" w:color="CCEEFF"/>
            </w:tcBorders>
            <w:shd w:val="clear" w:color="auto" w:fill="CCEEFF"/>
          </w:tcPr>
          <w:p>
            <w:pPr>
              <w:ind w:left="180"/>
              <w:spacing w:after="0" w:line="194" w:lineRule="exact"/>
              <w:rPr>
                <w:sz w:val="20"/>
                <w:szCs w:val="20"/>
                <w:color w:val="auto"/>
              </w:rPr>
            </w:pPr>
            <w:r>
              <w:rPr>
                <w:rFonts w:ascii="Times New Roman" w:cs="Times New Roman" w:eastAsia="Times New Roman" w:hAnsi="Times New Roman"/>
                <w:sz w:val="18"/>
                <w:szCs w:val="18"/>
                <w:color w:val="auto"/>
              </w:rPr>
              <w:t>Dilute</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6,280,616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6,269,529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7" w:lineRule="exact"/>
        <w:rPr>
          <w:sz w:val="20"/>
          <w:szCs w:val="20"/>
          <w:color w:val="auto"/>
        </w:rPr>
      </w:pPr>
    </w:p>
    <w:p>
      <w:pPr>
        <w:ind w:left="340" w:hanging="332"/>
        <w:spacing w:after="0" w:line="28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prior year amounts have been reclassified to conform to the current period’s presentation. These reclassifications had no impact on net earnings and financial position.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3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2024-08-23T15:45:06Z</dcterms:created>
  <dcterms:modified xsi:type="dcterms:W3CDTF">2024-08-23T15:45:06Z</dcterms:modified>
</cp:coreProperties>
</file>